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3FEB" w14:textId="4B2990D9" w:rsidR="004C50AA" w:rsidRPr="004C50AA" w:rsidRDefault="002F2B2B" w:rsidP="004C50AA">
      <w:pPr>
        <w:pStyle w:val="NoSpacing"/>
        <w:jc w:val="center"/>
        <w:rPr>
          <w:b/>
          <w:i/>
          <w:color w:val="FF0000"/>
          <w:sz w:val="40"/>
          <w:szCs w:val="40"/>
        </w:rPr>
      </w:pPr>
      <w:r>
        <w:rPr>
          <w:b/>
          <w:i/>
          <w:color w:val="FF0000"/>
          <w:sz w:val="40"/>
          <w:szCs w:val="40"/>
        </w:rPr>
        <w:t>CBA Research Award</w:t>
      </w:r>
    </w:p>
    <w:p w14:paraId="68F3C8E6" w14:textId="17CAB6FA" w:rsidR="004C50AA" w:rsidRPr="004C50AA" w:rsidRDefault="002F2B2B" w:rsidP="004C50AA">
      <w:pPr>
        <w:pStyle w:val="NoSpacing"/>
        <w:jc w:val="center"/>
        <w:rPr>
          <w:b/>
          <w:sz w:val="25"/>
          <w:szCs w:val="25"/>
        </w:rPr>
      </w:pPr>
      <w:r>
        <w:rPr>
          <w:b/>
          <w:sz w:val="25"/>
          <w:szCs w:val="25"/>
        </w:rPr>
        <w:t xml:space="preserve">For Exemplary Research in </w:t>
      </w:r>
    </w:p>
    <w:p w14:paraId="6B6F1809" w14:textId="77777777" w:rsidR="004C50AA" w:rsidRDefault="004C50AA" w:rsidP="004C50AA">
      <w:pPr>
        <w:pStyle w:val="NoSpacing"/>
        <w:jc w:val="center"/>
        <w:rPr>
          <w:b/>
          <w:sz w:val="25"/>
          <w:szCs w:val="25"/>
        </w:rPr>
      </w:pPr>
      <w:r w:rsidRPr="004C50AA">
        <w:rPr>
          <w:b/>
          <w:sz w:val="25"/>
          <w:szCs w:val="25"/>
        </w:rPr>
        <w:t>College of Business Administration</w:t>
      </w:r>
    </w:p>
    <w:p w14:paraId="1FFA1479" w14:textId="77777777" w:rsidR="004C50AA" w:rsidRPr="004C50AA" w:rsidRDefault="004C50AA" w:rsidP="004C50AA">
      <w:pPr>
        <w:pStyle w:val="NoSpacing"/>
        <w:jc w:val="center"/>
        <w:rPr>
          <w:sz w:val="12"/>
          <w:szCs w:val="12"/>
        </w:rPr>
      </w:pPr>
    </w:p>
    <w:p w14:paraId="57F01B88" w14:textId="3B08AF96" w:rsidR="004C50AA" w:rsidRPr="004C50AA" w:rsidRDefault="00124DC8" w:rsidP="004C50AA">
      <w:pPr>
        <w:pStyle w:val="NoSpacing"/>
        <w:ind w:left="0" w:firstLine="0"/>
        <w:rPr>
          <w:sz w:val="16"/>
          <w:szCs w:val="16"/>
        </w:rPr>
      </w:pPr>
      <w:r>
        <w:t xml:space="preserve">The </w:t>
      </w:r>
      <w:r w:rsidR="002F2B2B">
        <w:t xml:space="preserve">CBA Research Award </w:t>
      </w:r>
      <w:r>
        <w:t xml:space="preserve">is an award to faculty demonstrating </w:t>
      </w:r>
      <w:r w:rsidR="002F2B2B">
        <w:t>exemplary Research.  This may include publications in discipline leading journals and/or consistently excelling publications in leading field journals.</w:t>
      </w:r>
      <w:r>
        <w:t xml:space="preserve">  </w:t>
      </w:r>
      <w:r w:rsidR="003E1F4A">
        <w:t>Up to t</w:t>
      </w:r>
      <w:r>
        <w:t>wo faculty members may receive $</w:t>
      </w:r>
      <w:r w:rsidR="00CB193E">
        <w:t>3</w:t>
      </w:r>
      <w:r>
        <w:t xml:space="preserve">,000 each in professional development funds, to be managed through the Office of the Dean. It is expected that the winners of this award will present their </w:t>
      </w:r>
      <w:r w:rsidR="002F2B2B">
        <w:t>research in some capacity to the CBA over the following year.</w:t>
      </w:r>
    </w:p>
    <w:p w14:paraId="315D0560" w14:textId="77777777" w:rsidR="00D71669" w:rsidRPr="004C50AA" w:rsidRDefault="00124DC8" w:rsidP="004C50AA">
      <w:pPr>
        <w:pStyle w:val="NoSpacing"/>
        <w:ind w:left="0" w:firstLine="0"/>
        <w:rPr>
          <w:sz w:val="16"/>
          <w:szCs w:val="16"/>
        </w:rPr>
      </w:pPr>
      <w:r w:rsidRPr="004C50AA">
        <w:rPr>
          <w:sz w:val="16"/>
          <w:szCs w:val="16"/>
        </w:rPr>
        <w:t xml:space="preserve"> </w:t>
      </w:r>
    </w:p>
    <w:p w14:paraId="58A40CF7" w14:textId="77777777" w:rsidR="00D71669" w:rsidRDefault="00124DC8">
      <w:pPr>
        <w:ind w:left="0" w:right="0" w:firstLine="0"/>
      </w:pPr>
      <w:r>
        <w:t xml:space="preserve">Procedures and the criteria for selection follow: </w:t>
      </w:r>
    </w:p>
    <w:p w14:paraId="28923873" w14:textId="3CDA5A86" w:rsidR="00D71669" w:rsidRDefault="00124DC8" w:rsidP="002F2B2B">
      <w:pPr>
        <w:numPr>
          <w:ilvl w:val="0"/>
          <w:numId w:val="1"/>
        </w:numPr>
        <w:spacing w:after="0" w:line="241" w:lineRule="auto"/>
        <w:ind w:right="0" w:hanging="452"/>
      </w:pPr>
      <w:r>
        <w:t>There may be up to three nominees (full-time</w:t>
      </w:r>
      <w:r w:rsidR="002F2B2B">
        <w:t xml:space="preserve"> Faculty</w:t>
      </w:r>
      <w:r>
        <w:t xml:space="preserve">) from each department in the CBA.  </w:t>
      </w:r>
      <w:r w:rsidR="00B71379">
        <w:t>Application</w:t>
      </w:r>
      <w:r w:rsidR="00C21C5B">
        <w:t>s will be made in consultation</w:t>
      </w:r>
      <w:r w:rsidR="006568D9">
        <w:t xml:space="preserve"> with the department chair</w:t>
      </w:r>
      <w:r>
        <w:t xml:space="preserve">.  </w:t>
      </w:r>
      <w:r w:rsidR="00E321FC">
        <w:t xml:space="preserve">Only research and related activities with a </w:t>
      </w:r>
      <w:r w:rsidR="002F2B2B">
        <w:t xml:space="preserve">Central Michigan University </w:t>
      </w:r>
      <w:r w:rsidR="00E321FC">
        <w:t>affiliation will be considered.</w:t>
      </w:r>
      <w:r>
        <w:t xml:space="preserve"> </w:t>
      </w:r>
    </w:p>
    <w:p w14:paraId="0C8C49A7" w14:textId="77777777" w:rsidR="00D71669" w:rsidRDefault="00124DC8">
      <w:pPr>
        <w:numPr>
          <w:ilvl w:val="0"/>
          <w:numId w:val="1"/>
        </w:numPr>
        <w:ind w:right="0" w:hanging="452"/>
      </w:pPr>
      <w:r>
        <w:t xml:space="preserve">Past recipients of the award during the past five years may not be nominated. We again congratulate these recent recipients: </w:t>
      </w:r>
    </w:p>
    <w:p w14:paraId="69CD4EF2" w14:textId="2CC2D4BC" w:rsidR="004C50AA" w:rsidRDefault="002F2B2B" w:rsidP="002F2B2B">
      <w:pPr>
        <w:spacing w:after="0" w:line="259" w:lineRule="auto"/>
        <w:ind w:left="-5" w:right="0" w:firstLine="457"/>
        <w:jc w:val="left"/>
        <w:rPr>
          <w:i/>
          <w:iCs/>
        </w:rPr>
      </w:pPr>
      <w:r w:rsidRPr="485FE698">
        <w:rPr>
          <w:i/>
          <w:iCs/>
        </w:rPr>
        <w:t>2020:</w:t>
      </w:r>
      <w:r w:rsidR="1D1E51AD" w:rsidRPr="485FE698">
        <w:rPr>
          <w:i/>
          <w:iCs/>
        </w:rPr>
        <w:t xml:space="preserve"> Michael Pisani (MGT), Jason Taylor (ECO)</w:t>
      </w:r>
    </w:p>
    <w:p w14:paraId="49680CD5" w14:textId="066C8B6A" w:rsidR="005F2BBA" w:rsidRDefault="005F2BBA" w:rsidP="002F2B2B">
      <w:pPr>
        <w:spacing w:after="0" w:line="259" w:lineRule="auto"/>
        <w:ind w:left="-5" w:right="0" w:firstLine="457"/>
        <w:jc w:val="left"/>
        <w:rPr>
          <w:i/>
          <w:iCs/>
        </w:rPr>
      </w:pPr>
      <w:r>
        <w:rPr>
          <w:i/>
          <w:iCs/>
        </w:rPr>
        <w:t xml:space="preserve">2021: Spenser Robinson (FIN), </w:t>
      </w:r>
      <w:r w:rsidR="00CB193E">
        <w:rPr>
          <w:i/>
          <w:iCs/>
        </w:rPr>
        <w:t>Adam Epstein (FIN</w:t>
      </w:r>
      <w:r w:rsidR="00B45FE5">
        <w:rPr>
          <w:i/>
          <w:iCs/>
        </w:rPr>
        <w:t xml:space="preserve"> &amp; </w:t>
      </w:r>
      <w:r w:rsidR="00137DFA">
        <w:rPr>
          <w:i/>
          <w:iCs/>
        </w:rPr>
        <w:t>LAW</w:t>
      </w:r>
      <w:r w:rsidR="00CB193E">
        <w:rPr>
          <w:i/>
          <w:iCs/>
        </w:rPr>
        <w:t>)</w:t>
      </w:r>
    </w:p>
    <w:p w14:paraId="1B2CF71A" w14:textId="5ECF6EB4" w:rsidR="00A43641" w:rsidRDefault="00A43641" w:rsidP="002F2B2B">
      <w:pPr>
        <w:spacing w:after="0" w:line="259" w:lineRule="auto"/>
        <w:ind w:left="-5" w:right="0" w:firstLine="457"/>
        <w:jc w:val="left"/>
      </w:pPr>
      <w:r>
        <w:rPr>
          <w:i/>
          <w:iCs/>
        </w:rPr>
        <w:t>2022</w:t>
      </w:r>
      <w:r w:rsidR="00F54D67">
        <w:rPr>
          <w:i/>
          <w:iCs/>
        </w:rPr>
        <w:t>: Abu Amin (FIN)</w:t>
      </w:r>
    </w:p>
    <w:p w14:paraId="045A8CA2" w14:textId="77777777" w:rsidR="004C50AA" w:rsidRPr="004C50AA" w:rsidRDefault="004C50AA" w:rsidP="004C50AA">
      <w:pPr>
        <w:pStyle w:val="NoSpacing"/>
        <w:rPr>
          <w:sz w:val="12"/>
          <w:szCs w:val="12"/>
        </w:rPr>
      </w:pPr>
    </w:p>
    <w:p w14:paraId="20D1D9DA" w14:textId="77777777" w:rsidR="00D71669" w:rsidRDefault="00124DC8" w:rsidP="004C50AA">
      <w:pPr>
        <w:numPr>
          <w:ilvl w:val="0"/>
          <w:numId w:val="2"/>
        </w:numPr>
        <w:ind w:right="0" w:hanging="452"/>
      </w:pPr>
      <w:r>
        <w:t xml:space="preserve">If a member of the Faculty Development Committee is among the nominees, he/she will not participate in the deliberations or decisions. </w:t>
      </w:r>
    </w:p>
    <w:p w14:paraId="2D9F401C" w14:textId="77777777" w:rsidR="004C50AA" w:rsidRPr="004C50AA" w:rsidRDefault="004C50AA" w:rsidP="004C50AA">
      <w:pPr>
        <w:pStyle w:val="NoSpacing"/>
        <w:rPr>
          <w:sz w:val="12"/>
          <w:szCs w:val="12"/>
        </w:rPr>
      </w:pPr>
    </w:p>
    <w:p w14:paraId="516B49B0" w14:textId="77777777" w:rsidR="00D71669" w:rsidRDefault="00124DC8" w:rsidP="004C50AA">
      <w:pPr>
        <w:numPr>
          <w:ilvl w:val="0"/>
          <w:numId w:val="2"/>
        </w:numPr>
        <w:ind w:right="0" w:hanging="452"/>
      </w:pPr>
      <w:r>
        <w:t xml:space="preserve">Application is to be made with the following considerations: </w:t>
      </w:r>
    </w:p>
    <w:p w14:paraId="15899B7C" w14:textId="77777777" w:rsidR="002D1520" w:rsidRDefault="00124DC8" w:rsidP="004C50AA">
      <w:pPr>
        <w:numPr>
          <w:ilvl w:val="1"/>
          <w:numId w:val="2"/>
        </w:numPr>
        <w:ind w:right="0" w:hanging="360"/>
      </w:pPr>
      <w:r>
        <w:t>The applicant must explain and adequately</w:t>
      </w:r>
      <w:r>
        <w:rPr>
          <w:color w:val="FF0000"/>
        </w:rPr>
        <w:t xml:space="preserve"> </w:t>
      </w:r>
      <w:r>
        <w:t xml:space="preserve">document the </w:t>
      </w:r>
      <w:r w:rsidR="00B02014">
        <w:t>quality and impact of the research</w:t>
      </w:r>
      <w:r w:rsidR="002D1520">
        <w:t>.</w:t>
      </w:r>
    </w:p>
    <w:p w14:paraId="52D8CA7F" w14:textId="7A306CA6" w:rsidR="004C4ACB" w:rsidRDefault="002D1520" w:rsidP="004C50AA">
      <w:pPr>
        <w:numPr>
          <w:ilvl w:val="1"/>
          <w:numId w:val="2"/>
        </w:numPr>
        <w:ind w:right="0" w:hanging="360"/>
      </w:pPr>
      <w:r>
        <w:t>The applicant must adequately explain and/or document their</w:t>
      </w:r>
      <w:r w:rsidR="00B02014">
        <w:t xml:space="preserve"> personal contribution to its creation.</w:t>
      </w:r>
      <w:r w:rsidR="004C4ACB">
        <w:t xml:space="preserve"> </w:t>
      </w:r>
    </w:p>
    <w:p w14:paraId="3B3DB18F" w14:textId="5F04DF48" w:rsidR="002D1520" w:rsidRDefault="00B02014" w:rsidP="002D1520">
      <w:pPr>
        <w:numPr>
          <w:ilvl w:val="1"/>
          <w:numId w:val="2"/>
        </w:numPr>
        <w:ind w:right="0" w:hanging="360"/>
      </w:pPr>
      <w:r>
        <w:t>Working papers will not be considered.  Although preference will be given to articles accepted for publication in peer</w:t>
      </w:r>
      <w:r w:rsidR="004C4ACB">
        <w:t>-reviewed journal, related works of scholarship such as</w:t>
      </w:r>
      <w:r>
        <w:t xml:space="preserve"> </w:t>
      </w:r>
      <w:r w:rsidR="004C4ACB">
        <w:t xml:space="preserve">books, </w:t>
      </w:r>
      <w:r>
        <w:t xml:space="preserve">book chapters, industry publications, </w:t>
      </w:r>
      <w:r w:rsidR="004C4ACB">
        <w:t>and other contributions</w:t>
      </w:r>
      <w:r>
        <w:t xml:space="preserve"> may be considered.</w:t>
      </w:r>
    </w:p>
    <w:p w14:paraId="64E79F9E" w14:textId="0EF7C027" w:rsidR="00D71669" w:rsidRDefault="00124DC8" w:rsidP="004C50AA">
      <w:pPr>
        <w:numPr>
          <w:ilvl w:val="1"/>
          <w:numId w:val="2"/>
        </w:numPr>
        <w:ind w:right="0" w:hanging="360"/>
      </w:pPr>
      <w:r>
        <w:t>The applicant’s narrative should be a maximum of four single – spaced pages, not including exhibits in the appendices. The narrative and appendices must be submitted in a single, electronic file (PDF)</w:t>
      </w:r>
      <w:r w:rsidR="46813604">
        <w:t>; article abstracts should be included in the appendix.</w:t>
      </w:r>
      <w:r>
        <w:t xml:space="preserve"> </w:t>
      </w:r>
    </w:p>
    <w:p w14:paraId="471B9FC0" w14:textId="08E55DA5" w:rsidR="00D71669" w:rsidRDefault="00124DC8" w:rsidP="004C50AA">
      <w:pPr>
        <w:numPr>
          <w:ilvl w:val="1"/>
          <w:numId w:val="2"/>
        </w:numPr>
        <w:ind w:right="0" w:hanging="360"/>
      </w:pPr>
      <w:r>
        <w:t xml:space="preserve">The application must include </w:t>
      </w:r>
      <w:r w:rsidR="002D1520">
        <w:t>a table of research summarized by CBA Research Incentive Level.  Other metrics of quality will also be considered.</w:t>
      </w:r>
    </w:p>
    <w:p w14:paraId="09CC660A" w14:textId="1FCF8E50" w:rsidR="00D71669" w:rsidRDefault="002D1520" w:rsidP="004C50AA">
      <w:pPr>
        <w:numPr>
          <w:ilvl w:val="1"/>
          <w:numId w:val="2"/>
        </w:numPr>
        <w:ind w:right="0" w:hanging="360"/>
      </w:pPr>
      <w:r>
        <w:t>Research output over the past 5 years will be considered.</w:t>
      </w:r>
    </w:p>
    <w:p w14:paraId="0C03AFB3" w14:textId="1C9E224C" w:rsidR="004C4ACB" w:rsidRDefault="004C4ACB" w:rsidP="004C50AA">
      <w:pPr>
        <w:numPr>
          <w:ilvl w:val="1"/>
          <w:numId w:val="2"/>
        </w:numPr>
        <w:ind w:right="0" w:hanging="360"/>
      </w:pPr>
      <w:r>
        <w:t xml:space="preserve">Electronic copies of the articles </w:t>
      </w:r>
      <w:r w:rsidR="13CA40E6">
        <w:t>may be requested by committee but are not required for submission.</w:t>
      </w:r>
    </w:p>
    <w:p w14:paraId="3E677767" w14:textId="4565702D" w:rsidR="00D71669" w:rsidRDefault="00D71669" w:rsidP="004C50AA">
      <w:pPr>
        <w:pStyle w:val="NoSpacing"/>
        <w:rPr>
          <w:sz w:val="12"/>
          <w:szCs w:val="12"/>
        </w:rPr>
      </w:pPr>
    </w:p>
    <w:p w14:paraId="5F8D4D6E" w14:textId="77777777" w:rsidR="004C4ACB" w:rsidRPr="004C50AA" w:rsidRDefault="004C4ACB" w:rsidP="004C50AA">
      <w:pPr>
        <w:pStyle w:val="NoSpacing"/>
        <w:rPr>
          <w:sz w:val="12"/>
          <w:szCs w:val="12"/>
        </w:rPr>
      </w:pPr>
    </w:p>
    <w:p w14:paraId="225C89E1" w14:textId="6729C14A" w:rsidR="004C50AA" w:rsidRPr="004C50AA" w:rsidRDefault="00124DC8" w:rsidP="485FE698">
      <w:pPr>
        <w:numPr>
          <w:ilvl w:val="0"/>
          <w:numId w:val="2"/>
        </w:numPr>
        <w:spacing w:after="0" w:line="259" w:lineRule="auto"/>
        <w:ind w:right="0" w:hanging="452"/>
        <w:rPr>
          <w:rFonts w:asciiTheme="minorHAnsi" w:eastAsiaTheme="minorEastAsia" w:hAnsiTheme="minorHAnsi" w:cstheme="minorBidi"/>
          <w:b/>
          <w:bCs/>
          <w:color w:val="000000" w:themeColor="text1"/>
          <w:szCs w:val="23"/>
        </w:rPr>
      </w:pPr>
      <w:r w:rsidRPr="485FE698">
        <w:rPr>
          <w:b/>
          <w:bCs/>
        </w:rPr>
        <w:t xml:space="preserve">An electronic narrative should be submitted to </w:t>
      </w:r>
      <w:r w:rsidR="5DFA57DE" w:rsidRPr="485FE698">
        <w:rPr>
          <w:b/>
          <w:bCs/>
        </w:rPr>
        <w:t>Sarah Ransom</w:t>
      </w:r>
      <w:r w:rsidRPr="485FE698">
        <w:rPr>
          <w:b/>
          <w:bCs/>
        </w:rPr>
        <w:t xml:space="preserve"> at </w:t>
      </w:r>
      <w:r w:rsidR="7A875F80" w:rsidRPr="485FE698">
        <w:rPr>
          <w:b/>
          <w:bCs/>
        </w:rPr>
        <w:t>polzi1sm@cmich.edu</w:t>
      </w:r>
      <w:r w:rsidRPr="485FE698">
        <w:rPr>
          <w:b/>
          <w:bCs/>
        </w:rPr>
        <w:t xml:space="preserve">. </w:t>
      </w:r>
      <w:r>
        <w:t xml:space="preserve">Each candidate should submit one electronic file (PDF) which contains their narrative and supporting materials via email to </w:t>
      </w:r>
      <w:r w:rsidR="7B3DD8EC">
        <w:t>Sarah Ransom</w:t>
      </w:r>
      <w:r>
        <w:t xml:space="preserve"> in the Dean’s Office by </w:t>
      </w:r>
      <w:r w:rsidRPr="485FE698">
        <w:rPr>
          <w:b/>
          <w:bCs/>
        </w:rPr>
        <w:t xml:space="preserve">5:00PM on </w:t>
      </w:r>
      <w:r w:rsidR="005F2BBA">
        <w:rPr>
          <w:b/>
          <w:bCs/>
        </w:rPr>
        <w:t>Friday</w:t>
      </w:r>
      <w:r w:rsidRPr="485FE698">
        <w:rPr>
          <w:b/>
          <w:bCs/>
        </w:rPr>
        <w:t xml:space="preserve">, </w:t>
      </w:r>
      <w:r w:rsidR="00975688" w:rsidRPr="00656813">
        <w:rPr>
          <w:b/>
          <w:bCs/>
          <w:color w:val="auto"/>
        </w:rPr>
        <w:t xml:space="preserve">March </w:t>
      </w:r>
      <w:r w:rsidR="00A43641" w:rsidRPr="00656813">
        <w:rPr>
          <w:b/>
          <w:bCs/>
          <w:color w:val="auto"/>
        </w:rPr>
        <w:t>3</w:t>
      </w:r>
      <w:r w:rsidR="00975688" w:rsidRPr="00656813">
        <w:rPr>
          <w:b/>
          <w:bCs/>
          <w:color w:val="auto"/>
        </w:rPr>
        <w:t>, 202</w:t>
      </w:r>
      <w:r w:rsidR="00A43641" w:rsidRPr="00656813">
        <w:rPr>
          <w:b/>
          <w:bCs/>
          <w:color w:val="auto"/>
        </w:rPr>
        <w:t>3</w:t>
      </w:r>
      <w:r w:rsidRPr="00656813">
        <w:rPr>
          <w:b/>
          <w:bCs/>
          <w:color w:val="auto"/>
        </w:rPr>
        <w:t xml:space="preserve">.   </w:t>
      </w:r>
    </w:p>
    <w:p w14:paraId="53224B6A" w14:textId="77777777" w:rsidR="004C50AA" w:rsidRPr="004C50AA" w:rsidRDefault="004C50AA" w:rsidP="004C50AA">
      <w:pPr>
        <w:pStyle w:val="NoSpacing"/>
        <w:rPr>
          <w:sz w:val="12"/>
          <w:szCs w:val="12"/>
        </w:rPr>
      </w:pPr>
    </w:p>
    <w:p w14:paraId="65B3F0B4" w14:textId="77777777" w:rsidR="00D71669" w:rsidRDefault="00124DC8" w:rsidP="004C50AA">
      <w:pPr>
        <w:spacing w:after="0" w:line="259" w:lineRule="auto"/>
        <w:ind w:left="0" w:right="0" w:firstLine="0"/>
        <w:jc w:val="left"/>
      </w:pPr>
      <w:r>
        <w:rPr>
          <w:b/>
        </w:rPr>
        <w:t xml:space="preserve"> </w:t>
      </w:r>
      <w:r>
        <w:rPr>
          <w:b/>
          <w:i/>
        </w:rPr>
        <w:t xml:space="preserve">Late materials will not be accepted for any reason. </w:t>
      </w:r>
    </w:p>
    <w:p w14:paraId="4326295E" w14:textId="77777777" w:rsidR="004C50AA" w:rsidRPr="004C50AA" w:rsidRDefault="004C50AA" w:rsidP="004C50AA">
      <w:pPr>
        <w:pStyle w:val="NoSpacing"/>
        <w:rPr>
          <w:sz w:val="12"/>
          <w:szCs w:val="12"/>
        </w:rPr>
      </w:pPr>
    </w:p>
    <w:p w14:paraId="2A0DDE48" w14:textId="49172D27" w:rsidR="00D71669" w:rsidRDefault="00A43641" w:rsidP="004C50AA">
      <w:pPr>
        <w:spacing w:after="0" w:line="239" w:lineRule="auto"/>
        <w:ind w:left="0" w:right="2" w:firstLine="0"/>
      </w:pPr>
      <w:r w:rsidRPr="00DD6573">
        <w:rPr>
          <w:sz w:val="20"/>
          <w:szCs w:val="20"/>
        </w:rPr>
        <w:t xml:space="preserve">The Faculty Development Committee of the CBA will be responsible for the selection of the award recipient(s) and will notify the Dean of their selection. Recipient(s) will be notified by the Dean. Applicants are invited to discuss the documentation that should be included in their packets with members of the CBA Faculty Development Committee: </w:t>
      </w:r>
      <w:r w:rsidRPr="00DD6573">
        <w:rPr>
          <w:i/>
          <w:iCs/>
          <w:sz w:val="20"/>
          <w:szCs w:val="20"/>
        </w:rPr>
        <w:t xml:space="preserve">C. Allen (MKT), M. </w:t>
      </w:r>
      <w:proofErr w:type="spellStart"/>
      <w:r w:rsidRPr="00DD6573">
        <w:rPr>
          <w:i/>
          <w:iCs/>
          <w:sz w:val="20"/>
          <w:szCs w:val="20"/>
        </w:rPr>
        <w:t>Hwamg</w:t>
      </w:r>
      <w:proofErr w:type="spellEnd"/>
      <w:r w:rsidRPr="00DD6573">
        <w:rPr>
          <w:i/>
          <w:iCs/>
          <w:sz w:val="20"/>
          <w:szCs w:val="20"/>
        </w:rPr>
        <w:t xml:space="preserve"> (BIS), KC Lin (ACC), </w:t>
      </w:r>
      <w:r>
        <w:rPr>
          <w:i/>
          <w:iCs/>
          <w:sz w:val="20"/>
          <w:szCs w:val="20"/>
        </w:rPr>
        <w:t xml:space="preserve">L. </w:t>
      </w:r>
      <w:proofErr w:type="spellStart"/>
      <w:r>
        <w:rPr>
          <w:i/>
          <w:iCs/>
          <w:sz w:val="20"/>
          <w:szCs w:val="20"/>
        </w:rPr>
        <w:t>Zettel</w:t>
      </w:r>
      <w:proofErr w:type="spellEnd"/>
      <w:r w:rsidRPr="00DD6573">
        <w:rPr>
          <w:i/>
          <w:iCs/>
          <w:sz w:val="20"/>
          <w:szCs w:val="20"/>
        </w:rPr>
        <w:t xml:space="preserve"> (ENT), </w:t>
      </w:r>
      <w:r>
        <w:rPr>
          <w:i/>
          <w:iCs/>
          <w:sz w:val="20"/>
          <w:szCs w:val="20"/>
        </w:rPr>
        <w:t xml:space="preserve">A. Lhila </w:t>
      </w:r>
      <w:r w:rsidRPr="00DD6573">
        <w:rPr>
          <w:i/>
          <w:iCs/>
          <w:sz w:val="20"/>
          <w:szCs w:val="20"/>
        </w:rPr>
        <w:t>(ECO</w:t>
      </w:r>
      <w:r>
        <w:rPr>
          <w:i/>
          <w:iCs/>
          <w:sz w:val="20"/>
          <w:szCs w:val="20"/>
        </w:rPr>
        <w:t>), A. Epstein</w:t>
      </w:r>
      <w:r w:rsidRPr="00DD6573">
        <w:rPr>
          <w:i/>
          <w:iCs/>
          <w:sz w:val="20"/>
          <w:szCs w:val="20"/>
        </w:rPr>
        <w:t xml:space="preserve"> (FIN</w:t>
      </w:r>
      <w:r w:rsidR="009C01A3">
        <w:rPr>
          <w:i/>
          <w:iCs/>
          <w:sz w:val="20"/>
          <w:szCs w:val="20"/>
        </w:rPr>
        <w:t xml:space="preserve"> &amp; </w:t>
      </w:r>
      <w:r w:rsidR="00B33C1A">
        <w:rPr>
          <w:i/>
          <w:iCs/>
          <w:sz w:val="20"/>
          <w:szCs w:val="20"/>
        </w:rPr>
        <w:t>LAW</w:t>
      </w:r>
      <w:r w:rsidRPr="00DD6573">
        <w:rPr>
          <w:i/>
          <w:iCs/>
          <w:sz w:val="20"/>
          <w:szCs w:val="20"/>
        </w:rPr>
        <w:t>)</w:t>
      </w:r>
      <w:r>
        <w:rPr>
          <w:i/>
          <w:iCs/>
          <w:sz w:val="20"/>
          <w:szCs w:val="20"/>
        </w:rPr>
        <w:t>,</w:t>
      </w:r>
      <w:r w:rsidRPr="00DD6573">
        <w:rPr>
          <w:i/>
          <w:iCs/>
          <w:sz w:val="20"/>
          <w:szCs w:val="20"/>
        </w:rPr>
        <w:t xml:space="preserve"> or V. Whitelock (MGT).  </w:t>
      </w:r>
      <w:r w:rsidRPr="00DD6573">
        <w:rPr>
          <w:sz w:val="20"/>
          <w:szCs w:val="20"/>
        </w:rPr>
        <w:t xml:space="preserve"> </w:t>
      </w:r>
    </w:p>
    <w:p w14:paraId="71152F8B" w14:textId="77777777" w:rsidR="004C50AA" w:rsidRDefault="004C50AA" w:rsidP="004C50AA">
      <w:pPr>
        <w:spacing w:after="0" w:line="239" w:lineRule="auto"/>
        <w:ind w:left="0" w:right="2" w:firstLine="0"/>
      </w:pPr>
    </w:p>
    <w:tbl>
      <w:tblPr>
        <w:tblStyle w:val="TableGrid"/>
        <w:tblW w:w="13619" w:type="dxa"/>
        <w:tblInd w:w="980" w:type="dxa"/>
        <w:tblCellMar>
          <w:top w:w="53" w:type="dxa"/>
          <w:left w:w="106" w:type="dxa"/>
          <w:right w:w="115" w:type="dxa"/>
        </w:tblCellMar>
        <w:tblLook w:val="04A0" w:firstRow="1" w:lastRow="0" w:firstColumn="1" w:lastColumn="0" w:noHBand="0" w:noVBand="1"/>
      </w:tblPr>
      <w:tblGrid>
        <w:gridCol w:w="1545"/>
        <w:gridCol w:w="6259"/>
        <w:gridCol w:w="3284"/>
        <w:gridCol w:w="2531"/>
      </w:tblGrid>
      <w:tr w:rsidR="00B02014" w14:paraId="7855E5C2" w14:textId="77777777" w:rsidTr="26482409">
        <w:trPr>
          <w:trHeight w:val="302"/>
        </w:trPr>
        <w:tc>
          <w:tcPr>
            <w:tcW w:w="136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12D83" w14:textId="77777777" w:rsidR="00B02014" w:rsidRDefault="00B02014" w:rsidP="00B02014">
            <w:pPr>
              <w:spacing w:after="0" w:line="259" w:lineRule="auto"/>
              <w:ind w:left="2" w:right="0" w:firstLine="0"/>
              <w:jc w:val="center"/>
              <w:rPr>
                <w:rFonts w:ascii="Calibri" w:eastAsia="Calibri" w:hAnsi="Calibri" w:cs="Calibri"/>
                <w:b/>
                <w:sz w:val="24"/>
              </w:rPr>
            </w:pPr>
          </w:p>
          <w:p w14:paraId="54CDDAF6" w14:textId="31681A99" w:rsidR="00B02014" w:rsidRDefault="00B02014" w:rsidP="00B02014">
            <w:pPr>
              <w:spacing w:after="0" w:line="259" w:lineRule="auto"/>
              <w:ind w:left="2" w:right="0" w:firstLine="0"/>
              <w:jc w:val="center"/>
            </w:pPr>
            <w:r>
              <w:rPr>
                <w:rFonts w:ascii="Calibri" w:eastAsia="Calibri" w:hAnsi="Calibri" w:cs="Calibri"/>
                <w:b/>
                <w:sz w:val="24"/>
              </w:rPr>
              <w:t xml:space="preserve">Examples: Summary Table for Research </w:t>
            </w:r>
          </w:p>
        </w:tc>
      </w:tr>
      <w:tr w:rsidR="00B02014" w14:paraId="50D3811E" w14:textId="77777777" w:rsidTr="26482409">
        <w:trPr>
          <w:trHeight w:val="596"/>
        </w:trPr>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9A8B3" w14:textId="183E82F5" w:rsidR="00B02014" w:rsidRDefault="00B02014" w:rsidP="00B02014">
            <w:pPr>
              <w:spacing w:after="0" w:line="259" w:lineRule="auto"/>
              <w:ind w:left="4" w:right="0" w:firstLine="0"/>
              <w:jc w:val="center"/>
              <w:rPr>
                <w:rFonts w:ascii="Calibri" w:eastAsia="Calibri" w:hAnsi="Calibri" w:cs="Calibri"/>
                <w:b/>
                <w:sz w:val="24"/>
              </w:rPr>
            </w:pPr>
            <w:r>
              <w:t>Publication Year</w:t>
            </w:r>
          </w:p>
        </w:tc>
        <w:tc>
          <w:tcPr>
            <w:tcW w:w="6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8C184" w14:textId="63E857A4" w:rsidR="00B02014" w:rsidRDefault="00B02014" w:rsidP="00B02014">
            <w:pPr>
              <w:spacing w:after="0" w:line="259" w:lineRule="auto"/>
              <w:ind w:left="4" w:right="0" w:firstLine="0"/>
              <w:jc w:val="center"/>
            </w:pPr>
            <w:r>
              <w:rPr>
                <w:rFonts w:ascii="Calibri" w:eastAsia="Calibri" w:hAnsi="Calibri" w:cs="Calibri"/>
                <w:b/>
                <w:sz w:val="24"/>
              </w:rPr>
              <w:t xml:space="preserve">Publication </w:t>
            </w:r>
          </w:p>
        </w:tc>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4C84E" w14:textId="6E60AD49" w:rsidR="00B02014" w:rsidRDefault="00B02014">
            <w:pPr>
              <w:spacing w:after="0" w:line="259" w:lineRule="auto"/>
              <w:ind w:left="0" w:right="0" w:firstLine="0"/>
              <w:jc w:val="center"/>
            </w:pPr>
            <w:r>
              <w:rPr>
                <w:rFonts w:ascii="Calibri" w:eastAsia="Calibri" w:hAnsi="Calibri" w:cs="Calibri"/>
                <w:b/>
                <w:sz w:val="24"/>
              </w:rPr>
              <w:t xml:space="preserve">Journal </w:t>
            </w:r>
          </w:p>
        </w:tc>
        <w:tc>
          <w:tcPr>
            <w:tcW w:w="2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55324" w14:textId="5FA7B09A" w:rsidR="00B02014" w:rsidRDefault="00B02014" w:rsidP="00B02014">
            <w:pPr>
              <w:spacing w:after="0" w:line="259" w:lineRule="auto"/>
              <w:ind w:left="10" w:right="0" w:firstLine="0"/>
              <w:jc w:val="center"/>
            </w:pPr>
            <w:r>
              <w:rPr>
                <w:rFonts w:ascii="Calibri" w:eastAsia="Calibri" w:hAnsi="Calibri" w:cs="Calibri"/>
                <w:b/>
                <w:sz w:val="24"/>
              </w:rPr>
              <w:t>CBA Research Incentive Level</w:t>
            </w:r>
          </w:p>
        </w:tc>
      </w:tr>
      <w:tr w:rsidR="00B02014" w14:paraId="0B24F768" w14:textId="77777777" w:rsidTr="26482409">
        <w:trPr>
          <w:trHeight w:val="305"/>
        </w:trPr>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A4ED8" w14:textId="35EDC425" w:rsidR="00B02014" w:rsidRPr="00B02014" w:rsidRDefault="00B02014" w:rsidP="00B02014">
            <w:pPr>
              <w:spacing w:after="0" w:line="259" w:lineRule="auto"/>
              <w:ind w:left="2" w:right="0" w:firstLine="0"/>
              <w:jc w:val="left"/>
              <w:rPr>
                <w:i/>
                <w:sz w:val="24"/>
              </w:rPr>
            </w:pPr>
            <w:r>
              <w:rPr>
                <w:i/>
                <w:sz w:val="24"/>
              </w:rPr>
              <w:t>Forthcoming</w:t>
            </w:r>
          </w:p>
        </w:tc>
        <w:tc>
          <w:tcPr>
            <w:tcW w:w="6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EC214" w14:textId="1A3393B9" w:rsidR="00B02014" w:rsidRPr="00B02014" w:rsidRDefault="00B02014" w:rsidP="485FE698">
            <w:pPr>
              <w:spacing w:after="0" w:line="259" w:lineRule="auto"/>
              <w:ind w:left="2" w:right="0" w:firstLine="0"/>
              <w:jc w:val="left"/>
              <w:rPr>
                <w:sz w:val="24"/>
                <w:szCs w:val="24"/>
              </w:rPr>
            </w:pPr>
            <w:r w:rsidRPr="485FE698">
              <w:rPr>
                <w:sz w:val="24"/>
                <w:szCs w:val="24"/>
              </w:rPr>
              <w:t>Moberg, C., Smart, K., (202</w:t>
            </w:r>
            <w:r w:rsidR="5ECDDD56" w:rsidRPr="485FE698">
              <w:rPr>
                <w:sz w:val="24"/>
                <w:szCs w:val="24"/>
              </w:rPr>
              <w:t>1</w:t>
            </w:r>
            <w:r w:rsidRPr="485FE698">
              <w:rPr>
                <w:sz w:val="24"/>
                <w:szCs w:val="24"/>
              </w:rPr>
              <w:t>) Best Practices for CBA Research Awards</w:t>
            </w:r>
          </w:p>
        </w:tc>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857AD" w14:textId="0BEC6723" w:rsidR="00B02014" w:rsidRPr="00B02014" w:rsidRDefault="00B02014" w:rsidP="485FE698">
            <w:pPr>
              <w:spacing w:after="0" w:line="259" w:lineRule="auto"/>
              <w:ind w:left="11" w:right="0" w:firstLine="0"/>
              <w:jc w:val="center"/>
              <w:rPr>
                <w:i/>
                <w:iCs/>
              </w:rPr>
            </w:pPr>
            <w:r w:rsidRPr="485FE698">
              <w:rPr>
                <w:i/>
                <w:iCs/>
              </w:rPr>
              <w:t xml:space="preserve">Journal of </w:t>
            </w:r>
            <w:r w:rsidR="359CB763" w:rsidRPr="485FE698">
              <w:rPr>
                <w:i/>
                <w:iCs/>
              </w:rPr>
              <w:t>For T</w:t>
            </w:r>
            <w:r w:rsidRPr="485FE698">
              <w:rPr>
                <w:i/>
                <w:iCs/>
              </w:rPr>
              <w:t xml:space="preserve">his Sample Table </w:t>
            </w:r>
          </w:p>
        </w:tc>
        <w:tc>
          <w:tcPr>
            <w:tcW w:w="2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85C97" w14:textId="40843DD1" w:rsidR="00B02014" w:rsidRDefault="00E321FC">
            <w:pPr>
              <w:spacing w:after="0" w:line="259" w:lineRule="auto"/>
              <w:ind w:left="10" w:right="0" w:firstLine="0"/>
              <w:jc w:val="center"/>
            </w:pPr>
            <w:r>
              <w:t>Regular</w:t>
            </w:r>
          </w:p>
        </w:tc>
      </w:tr>
      <w:tr w:rsidR="00B02014" w14:paraId="580367CD" w14:textId="77777777" w:rsidTr="26482409">
        <w:trPr>
          <w:trHeight w:val="302"/>
        </w:trPr>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7D4F2" w14:textId="2D4AF5F9" w:rsidR="00B02014" w:rsidRPr="00B02014" w:rsidRDefault="00B02014" w:rsidP="00B02014">
            <w:pPr>
              <w:spacing w:after="0" w:line="259" w:lineRule="auto"/>
              <w:ind w:left="2" w:right="0" w:firstLine="0"/>
              <w:jc w:val="left"/>
              <w:rPr>
                <w:sz w:val="24"/>
              </w:rPr>
            </w:pPr>
            <w:r w:rsidRPr="00B02014">
              <w:rPr>
                <w:sz w:val="24"/>
              </w:rPr>
              <w:t>2019</w:t>
            </w:r>
          </w:p>
        </w:tc>
        <w:tc>
          <w:tcPr>
            <w:tcW w:w="6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3563F" w14:textId="2481A99A" w:rsidR="00B02014" w:rsidRPr="00B02014" w:rsidRDefault="00B02014" w:rsidP="00B02014">
            <w:pPr>
              <w:spacing w:after="0" w:line="259" w:lineRule="auto"/>
              <w:ind w:left="2" w:right="0" w:firstLine="0"/>
              <w:jc w:val="left"/>
              <w:rPr>
                <w:sz w:val="24"/>
              </w:rPr>
            </w:pPr>
            <w:r w:rsidRPr="00B02014">
              <w:rPr>
                <w:sz w:val="24"/>
              </w:rPr>
              <w:t xml:space="preserve">Garver, M. S. (2019). Threats to the validity of logistics and supply chain management research. </w:t>
            </w:r>
          </w:p>
        </w:tc>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0AA4B" w14:textId="1D54350A" w:rsidR="00B02014" w:rsidRPr="00B02014" w:rsidRDefault="00B02014" w:rsidP="00B02014">
            <w:pPr>
              <w:spacing w:after="0" w:line="259" w:lineRule="auto"/>
              <w:ind w:left="11" w:right="0" w:firstLine="0"/>
              <w:jc w:val="center"/>
              <w:rPr>
                <w:i/>
              </w:rPr>
            </w:pPr>
            <w:r w:rsidRPr="00B02014">
              <w:rPr>
                <w:rFonts w:ascii="Calibri" w:eastAsia="Calibri" w:hAnsi="Calibri" w:cs="Calibri"/>
                <w:i/>
                <w:sz w:val="24"/>
              </w:rPr>
              <w:t>Journal of Business Logistics, 40(1), 30-43.</w:t>
            </w:r>
          </w:p>
        </w:tc>
        <w:tc>
          <w:tcPr>
            <w:tcW w:w="2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1DF61" w14:textId="38104782" w:rsidR="00B02014" w:rsidRDefault="00E321FC" w:rsidP="00B02014">
            <w:pPr>
              <w:spacing w:after="0" w:line="259" w:lineRule="auto"/>
              <w:ind w:left="10" w:right="0" w:firstLine="0"/>
              <w:jc w:val="center"/>
            </w:pPr>
            <w:r>
              <w:t>Premier</w:t>
            </w:r>
          </w:p>
        </w:tc>
      </w:tr>
      <w:tr w:rsidR="00B02014" w14:paraId="4E40285E" w14:textId="77777777" w:rsidTr="26482409">
        <w:trPr>
          <w:trHeight w:val="302"/>
        </w:trPr>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B3388" w14:textId="211DC01C" w:rsidR="00B02014" w:rsidRPr="00B02014" w:rsidRDefault="00B02014" w:rsidP="00B02014">
            <w:pPr>
              <w:spacing w:after="0" w:line="259" w:lineRule="auto"/>
              <w:ind w:left="2" w:right="0" w:firstLine="0"/>
              <w:jc w:val="left"/>
              <w:rPr>
                <w:sz w:val="24"/>
              </w:rPr>
            </w:pPr>
            <w:r w:rsidRPr="00B02014">
              <w:rPr>
                <w:sz w:val="24"/>
              </w:rPr>
              <w:t>2019</w:t>
            </w:r>
          </w:p>
        </w:tc>
        <w:tc>
          <w:tcPr>
            <w:tcW w:w="6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BFA0F" w14:textId="4DACC64E" w:rsidR="00B02014" w:rsidRPr="00B02014" w:rsidRDefault="00B02014" w:rsidP="00B02014">
            <w:pPr>
              <w:spacing w:after="0" w:line="259" w:lineRule="auto"/>
              <w:ind w:left="2" w:right="0" w:firstLine="0"/>
              <w:jc w:val="left"/>
              <w:rPr>
                <w:sz w:val="24"/>
              </w:rPr>
            </w:pPr>
            <w:r w:rsidRPr="00B02014">
              <w:rPr>
                <w:sz w:val="24"/>
              </w:rPr>
              <w:t xml:space="preserve">Hong, P. K., Lee, S., </w:t>
            </w:r>
            <w:proofErr w:type="spellStart"/>
            <w:r w:rsidRPr="00B02014">
              <w:rPr>
                <w:sz w:val="24"/>
              </w:rPr>
              <w:t>Mynatt</w:t>
            </w:r>
            <w:proofErr w:type="spellEnd"/>
            <w:r w:rsidRPr="00B02014">
              <w:rPr>
                <w:sz w:val="24"/>
              </w:rPr>
              <w:t>, P., &amp; Ramakrishnan, R. (2019). The value relevance of timely information: The case of comparable store sales growth</w:t>
            </w:r>
          </w:p>
        </w:tc>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50EA8" w14:textId="7840733A" w:rsidR="00B02014" w:rsidRDefault="00B02014" w:rsidP="00B02014">
            <w:pPr>
              <w:spacing w:after="0" w:line="259" w:lineRule="auto"/>
              <w:ind w:left="11" w:right="0" w:firstLine="0"/>
              <w:jc w:val="center"/>
            </w:pPr>
            <w:r w:rsidRPr="00B02014">
              <w:rPr>
                <w:rFonts w:ascii="Calibri" w:eastAsia="Calibri" w:hAnsi="Calibri" w:cs="Calibri"/>
                <w:i/>
                <w:sz w:val="24"/>
              </w:rPr>
              <w:t xml:space="preserve"> Advances in accounting, 44, 10-21.</w:t>
            </w:r>
          </w:p>
        </w:tc>
        <w:tc>
          <w:tcPr>
            <w:tcW w:w="2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00A84" w14:textId="419648BE" w:rsidR="00B02014" w:rsidRDefault="00E321FC" w:rsidP="00B02014">
            <w:pPr>
              <w:spacing w:after="0" w:line="259" w:lineRule="auto"/>
              <w:ind w:left="10" w:right="0" w:firstLine="0"/>
              <w:jc w:val="center"/>
            </w:pPr>
            <w:r>
              <w:t>Enhanced</w:t>
            </w:r>
          </w:p>
        </w:tc>
      </w:tr>
      <w:tr w:rsidR="00B02014" w14:paraId="1D6A242F" w14:textId="77777777" w:rsidTr="26482409">
        <w:trPr>
          <w:trHeight w:val="302"/>
        </w:trPr>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1FA04" w14:textId="750900BD" w:rsidR="00B02014" w:rsidRPr="00B02014" w:rsidRDefault="00B02014" w:rsidP="00B02014">
            <w:pPr>
              <w:spacing w:after="0" w:line="259" w:lineRule="auto"/>
              <w:ind w:left="2" w:right="0" w:firstLine="0"/>
              <w:jc w:val="left"/>
              <w:rPr>
                <w:sz w:val="24"/>
              </w:rPr>
            </w:pPr>
            <w:r w:rsidRPr="00B02014">
              <w:rPr>
                <w:sz w:val="24"/>
              </w:rPr>
              <w:t>2019</w:t>
            </w:r>
          </w:p>
        </w:tc>
        <w:tc>
          <w:tcPr>
            <w:tcW w:w="6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04248" w14:textId="5BF9003B" w:rsidR="00B02014" w:rsidRPr="00B02014" w:rsidRDefault="00B02014" w:rsidP="00B02014">
            <w:pPr>
              <w:spacing w:after="0" w:line="259" w:lineRule="auto"/>
              <w:ind w:left="2" w:right="0" w:firstLine="0"/>
              <w:jc w:val="left"/>
              <w:rPr>
                <w:sz w:val="24"/>
              </w:rPr>
            </w:pPr>
            <w:r w:rsidRPr="00314C82">
              <w:rPr>
                <w:sz w:val="24"/>
              </w:rPr>
              <w:t xml:space="preserve">Cypher, M., Price, S.M., Robinson, S., Seiler, M., </w:t>
            </w:r>
            <w:r>
              <w:rPr>
                <w:sz w:val="24"/>
              </w:rPr>
              <w:t xml:space="preserve">(2018) </w:t>
            </w:r>
            <w:r w:rsidRPr="00314C82">
              <w:rPr>
                <w:sz w:val="24"/>
              </w:rPr>
              <w:t>Signaling, Anchoring, and Loss Aversion in Commercial Real Estate Transactions.</w:t>
            </w:r>
          </w:p>
        </w:tc>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B7C5A" w14:textId="7A8AC294" w:rsidR="00B02014" w:rsidRDefault="00B02014" w:rsidP="00B02014">
            <w:pPr>
              <w:spacing w:after="0" w:line="259" w:lineRule="auto"/>
              <w:ind w:left="11" w:right="0" w:firstLine="0"/>
              <w:jc w:val="center"/>
            </w:pPr>
            <w:r w:rsidRPr="00314C82">
              <w:rPr>
                <w:i/>
                <w:sz w:val="24"/>
              </w:rPr>
              <w:t>Journal of Real Estate and Financial Economics</w:t>
            </w:r>
            <w:r>
              <w:rPr>
                <w:i/>
                <w:sz w:val="24"/>
              </w:rPr>
              <w:t>, 57(2)</w:t>
            </w:r>
          </w:p>
        </w:tc>
        <w:tc>
          <w:tcPr>
            <w:tcW w:w="2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E6B60" w14:textId="55749871" w:rsidR="00B02014" w:rsidRDefault="00B02014" w:rsidP="00B02014">
            <w:pPr>
              <w:spacing w:after="0" w:line="259" w:lineRule="auto"/>
              <w:ind w:left="10" w:right="0" w:firstLine="0"/>
              <w:jc w:val="center"/>
            </w:pPr>
            <w:r>
              <w:rPr>
                <w:rFonts w:ascii="Calibri" w:eastAsia="Calibri" w:hAnsi="Calibri" w:cs="Calibri"/>
                <w:sz w:val="24"/>
              </w:rPr>
              <w:t xml:space="preserve">Premier </w:t>
            </w:r>
          </w:p>
        </w:tc>
      </w:tr>
      <w:tr w:rsidR="00B02014" w14:paraId="477789DA" w14:textId="77777777" w:rsidTr="26482409">
        <w:trPr>
          <w:trHeight w:val="305"/>
        </w:trPr>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60829" w14:textId="1F3766FE" w:rsidR="00B02014" w:rsidRDefault="48258BFA" w:rsidP="00B02014">
            <w:pPr>
              <w:spacing w:after="0" w:line="259" w:lineRule="auto"/>
              <w:ind w:left="2" w:right="0" w:firstLine="0"/>
              <w:jc w:val="left"/>
            </w:pPr>
            <w:r>
              <w:t>2020</w:t>
            </w:r>
          </w:p>
        </w:tc>
        <w:tc>
          <w:tcPr>
            <w:tcW w:w="6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82834" w14:textId="778B6D6B" w:rsidR="00B02014" w:rsidRPr="00E321FC" w:rsidRDefault="58094913" w:rsidP="26482409">
            <w:pPr>
              <w:spacing w:after="0" w:line="259" w:lineRule="auto"/>
              <w:ind w:left="2" w:right="0" w:firstLine="0"/>
              <w:jc w:val="left"/>
            </w:pPr>
            <w:r w:rsidRPr="26482409">
              <w:rPr>
                <w:color w:val="000000" w:themeColor="text1"/>
                <w:sz w:val="22"/>
              </w:rPr>
              <w:t xml:space="preserve">Amin, A., </w:t>
            </w:r>
            <w:proofErr w:type="spellStart"/>
            <w:r w:rsidRPr="26482409">
              <w:rPr>
                <w:color w:val="000000" w:themeColor="text1"/>
                <w:sz w:val="22"/>
              </w:rPr>
              <w:t>Chourou</w:t>
            </w:r>
            <w:proofErr w:type="spellEnd"/>
            <w:r w:rsidRPr="26482409">
              <w:rPr>
                <w:color w:val="000000" w:themeColor="text1"/>
                <w:sz w:val="22"/>
              </w:rPr>
              <w:t>, L., Kamal, S., Malik, M., &amp; Zhao, Y. (2020). It’s who you know that counts: Board connectedness and CSR performance</w:t>
            </w:r>
          </w:p>
        </w:tc>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B2517" w14:textId="73662EAA" w:rsidR="00B02014" w:rsidRPr="00E321FC" w:rsidRDefault="00E321FC" w:rsidP="26482409">
            <w:pPr>
              <w:spacing w:after="0" w:line="259" w:lineRule="auto"/>
              <w:ind w:left="11" w:right="0" w:firstLine="0"/>
              <w:jc w:val="center"/>
              <w:rPr>
                <w:i/>
                <w:iCs/>
              </w:rPr>
            </w:pPr>
            <w:r w:rsidRPr="26482409">
              <w:rPr>
                <w:i/>
                <w:iCs/>
              </w:rPr>
              <w:t>Journal of</w:t>
            </w:r>
            <w:r w:rsidR="250735AF" w:rsidRPr="26482409">
              <w:rPr>
                <w:i/>
                <w:iCs/>
              </w:rPr>
              <w:t xml:space="preserve"> Corporate Finance, </w:t>
            </w:r>
            <w:r w:rsidR="3D2C6C7C" w:rsidRPr="26482409">
              <w:rPr>
                <w:i/>
                <w:iCs/>
              </w:rPr>
              <w:t>64</w:t>
            </w:r>
          </w:p>
        </w:tc>
        <w:tc>
          <w:tcPr>
            <w:tcW w:w="2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AA0CC" w14:textId="0C1BFC85" w:rsidR="00B02014" w:rsidRDefault="00E321FC" w:rsidP="00B02014">
            <w:pPr>
              <w:spacing w:after="0" w:line="259" w:lineRule="auto"/>
              <w:ind w:left="10" w:right="0" w:firstLine="0"/>
              <w:jc w:val="center"/>
            </w:pPr>
            <w:r>
              <w:t>Outstanding</w:t>
            </w:r>
          </w:p>
        </w:tc>
      </w:tr>
    </w:tbl>
    <w:p w14:paraId="1ED33367" w14:textId="77777777" w:rsidR="00D71669" w:rsidRDefault="00124DC8">
      <w:pPr>
        <w:spacing w:after="0" w:line="250" w:lineRule="auto"/>
        <w:ind w:left="0" w:right="10043" w:firstLine="0"/>
      </w:pPr>
      <w:r>
        <w:rPr>
          <w:sz w:val="24"/>
        </w:rPr>
        <w:t xml:space="preserve"> </w:t>
      </w:r>
      <w:r>
        <w:rPr>
          <w:sz w:val="20"/>
        </w:rPr>
        <w:t xml:space="preserve"> </w:t>
      </w:r>
    </w:p>
    <w:sectPr w:rsidR="00D71669" w:rsidSect="00B02014">
      <w:pgSz w:w="15840" w:h="12240" w:orient="landscape"/>
      <w:pgMar w:top="1152" w:right="720" w:bottom="720" w:left="540" w:header="720" w:footer="720" w:gutter="0"/>
      <w:cols w:space="720"/>
      <w:docGrid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05D71"/>
    <w:multiLevelType w:val="hybridMultilevel"/>
    <w:tmpl w:val="0318EF64"/>
    <w:lvl w:ilvl="0" w:tplc="56FEC26A">
      <w:start w:val="1"/>
      <w:numFmt w:val="upperRoman"/>
      <w:lvlText w:val="%1."/>
      <w:lvlJc w:val="left"/>
      <w:pPr>
        <w:ind w:left="4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BD01FEC">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E20C68A">
      <w:start w:val="1"/>
      <w:numFmt w:val="bullet"/>
      <w:lvlText w:val="▪"/>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6EC16B2">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4A8700C">
      <w:start w:val="1"/>
      <w:numFmt w:val="bullet"/>
      <w:lvlText w:val="o"/>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848F500">
      <w:start w:val="1"/>
      <w:numFmt w:val="bullet"/>
      <w:lvlText w:val="▪"/>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858E718">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A3A97C2">
      <w:start w:val="1"/>
      <w:numFmt w:val="bullet"/>
      <w:lvlText w:val="o"/>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7207A0A">
      <w:start w:val="1"/>
      <w:numFmt w:val="bullet"/>
      <w:lvlText w:val="▪"/>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42C574B"/>
    <w:multiLevelType w:val="hybridMultilevel"/>
    <w:tmpl w:val="0318EF64"/>
    <w:lvl w:ilvl="0" w:tplc="56FEC26A">
      <w:start w:val="1"/>
      <w:numFmt w:val="upperRoman"/>
      <w:lvlText w:val="%1."/>
      <w:lvlJc w:val="left"/>
      <w:pPr>
        <w:ind w:left="4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BD01FEC">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E20C68A">
      <w:start w:val="1"/>
      <w:numFmt w:val="bullet"/>
      <w:lvlText w:val="▪"/>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6EC16B2">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4A8700C">
      <w:start w:val="1"/>
      <w:numFmt w:val="bullet"/>
      <w:lvlText w:val="o"/>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848F500">
      <w:start w:val="1"/>
      <w:numFmt w:val="bullet"/>
      <w:lvlText w:val="▪"/>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858E718">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A3A97C2">
      <w:start w:val="1"/>
      <w:numFmt w:val="bullet"/>
      <w:lvlText w:val="o"/>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7207A0A">
      <w:start w:val="1"/>
      <w:numFmt w:val="bullet"/>
      <w:lvlText w:val="▪"/>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669"/>
    <w:rsid w:val="000E199A"/>
    <w:rsid w:val="00124DC8"/>
    <w:rsid w:val="00137DFA"/>
    <w:rsid w:val="0014712E"/>
    <w:rsid w:val="002D1520"/>
    <w:rsid w:val="002F2B2B"/>
    <w:rsid w:val="00381C7F"/>
    <w:rsid w:val="00393B53"/>
    <w:rsid w:val="003E1F4A"/>
    <w:rsid w:val="004C4ACB"/>
    <w:rsid w:val="004C50AA"/>
    <w:rsid w:val="005F2BBA"/>
    <w:rsid w:val="00656813"/>
    <w:rsid w:val="006568D9"/>
    <w:rsid w:val="00890CFD"/>
    <w:rsid w:val="0089296E"/>
    <w:rsid w:val="008A5B2E"/>
    <w:rsid w:val="008C275E"/>
    <w:rsid w:val="00975688"/>
    <w:rsid w:val="009C01A3"/>
    <w:rsid w:val="00A43641"/>
    <w:rsid w:val="00B02014"/>
    <w:rsid w:val="00B33C1A"/>
    <w:rsid w:val="00B45FE5"/>
    <w:rsid w:val="00B71379"/>
    <w:rsid w:val="00C21C5B"/>
    <w:rsid w:val="00C55338"/>
    <w:rsid w:val="00C8274B"/>
    <w:rsid w:val="00CB193E"/>
    <w:rsid w:val="00CB5307"/>
    <w:rsid w:val="00D71669"/>
    <w:rsid w:val="00E321FC"/>
    <w:rsid w:val="00F54D67"/>
    <w:rsid w:val="0218DEB2"/>
    <w:rsid w:val="0B5195A4"/>
    <w:rsid w:val="0FC07BC8"/>
    <w:rsid w:val="1083A03D"/>
    <w:rsid w:val="13CA40E6"/>
    <w:rsid w:val="1D1E51AD"/>
    <w:rsid w:val="250735AF"/>
    <w:rsid w:val="26482409"/>
    <w:rsid w:val="346B24E1"/>
    <w:rsid w:val="359CB763"/>
    <w:rsid w:val="3A313F66"/>
    <w:rsid w:val="3CF7595F"/>
    <w:rsid w:val="3D2C6C7C"/>
    <w:rsid w:val="3FC2DEC4"/>
    <w:rsid w:val="4529F796"/>
    <w:rsid w:val="46813604"/>
    <w:rsid w:val="48258BFA"/>
    <w:rsid w:val="485FE698"/>
    <w:rsid w:val="4B6F7CAB"/>
    <w:rsid w:val="55BE15BD"/>
    <w:rsid w:val="58094913"/>
    <w:rsid w:val="5DFA57DE"/>
    <w:rsid w:val="5ECDDD56"/>
    <w:rsid w:val="5FF235F8"/>
    <w:rsid w:val="643B1574"/>
    <w:rsid w:val="6B07FC5D"/>
    <w:rsid w:val="6B79AF45"/>
    <w:rsid w:val="7788D599"/>
    <w:rsid w:val="7A875F80"/>
    <w:rsid w:val="7B3DD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C6B4"/>
  <w15:docId w15:val="{8F993794-7FEA-47E8-B78D-5A397B41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370" w:right="4" w:hanging="37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C50AA"/>
    <w:pPr>
      <w:spacing w:after="0" w:line="240" w:lineRule="auto"/>
      <w:ind w:left="370" w:right="4" w:hanging="370"/>
      <w:jc w:val="both"/>
    </w:pPr>
    <w:rPr>
      <w:rFonts w:ascii="Times New Roman" w:eastAsia="Times New Roman" w:hAnsi="Times New Roman" w:cs="Times New Roman"/>
      <w:color w:val="000000"/>
      <w:sz w:val="23"/>
    </w:rPr>
  </w:style>
  <w:style w:type="paragraph" w:styleId="BalloonText">
    <w:name w:val="Balloon Text"/>
    <w:basedOn w:val="Normal"/>
    <w:link w:val="BalloonTextChar"/>
    <w:uiPriority w:val="99"/>
    <w:semiHidden/>
    <w:unhideWhenUsed/>
    <w:rsid w:val="00CB1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93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B68F9423EE2419B39F0362556DFEF" ma:contentTypeVersion="2" ma:contentTypeDescription="Create a new document." ma:contentTypeScope="" ma:versionID="89edc3b4b4b60a00159699ed44848aa7">
  <xsd:schema xmlns:xsd="http://www.w3.org/2001/XMLSchema" xmlns:xs="http://www.w3.org/2001/XMLSchema" xmlns:p="http://schemas.microsoft.com/office/2006/metadata/properties" xmlns:ns1="http://schemas.microsoft.com/sharepoint/v3" targetNamespace="http://schemas.microsoft.com/office/2006/metadata/properties" ma:root="true" ma:fieldsID="dfad2762bc746bf0ba2aa4fccebeecb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63D52-28CA-4386-8053-091234D32452}">
  <ds:schemaRefs>
    <ds:schemaRef ds:uri="http://schemas.microsoft.com/sharepoint/v3/contenttype/forms"/>
  </ds:schemaRefs>
</ds:datastoreItem>
</file>

<file path=customXml/itemProps2.xml><?xml version="1.0" encoding="utf-8"?>
<ds:datastoreItem xmlns:ds="http://schemas.openxmlformats.org/officeDocument/2006/customXml" ds:itemID="{DB00C124-CFAA-43F1-A35A-42CC1E3D1E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E4178B-5A67-4824-BA25-2F69D70505D5}"/>
</file>

<file path=docProps/app.xml><?xml version="1.0" encoding="utf-8"?>
<Properties xmlns="http://schemas.openxmlformats.org/officeDocument/2006/extended-properties" xmlns:vt="http://schemas.openxmlformats.org/officeDocument/2006/docPropsVTypes">
  <Template>Normal.dotm</Template>
  <TotalTime>4</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Faculty Development Committee</vt:lpstr>
    </vt:vector>
  </TitlesOfParts>
  <Company>Central Michigan University</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Development Committee</dc:title>
  <dc:subject/>
  <dc:creator>Nancy Csapo</dc:creator>
  <cp:keywords/>
  <cp:lastModifiedBy>Allen, Concha K</cp:lastModifiedBy>
  <cp:revision>8</cp:revision>
  <cp:lastPrinted>2020-02-26T13:43:00Z</cp:lastPrinted>
  <dcterms:created xsi:type="dcterms:W3CDTF">2022-11-17T18:14:00Z</dcterms:created>
  <dcterms:modified xsi:type="dcterms:W3CDTF">2022-11-30T14:33:00Z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0x0101008D3B68F9423EE2419B39F0362556DFEF</vt:lpwstr>
  </property>
</Properties>
</file>