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065F" w14:textId="2C409E2D" w:rsidR="00A163E4" w:rsidRDefault="00FF654D" w:rsidP="00FF654D">
      <w:pPr>
        <w:pStyle w:val="NoSpacing"/>
        <w:rPr>
          <w:b/>
          <w:sz w:val="28"/>
          <w:szCs w:val="24"/>
        </w:rPr>
      </w:pPr>
      <w:r>
        <w:rPr>
          <w:b/>
          <w:noProof/>
          <w:sz w:val="28"/>
          <w:szCs w:val="24"/>
        </w:rPr>
        <w:drawing>
          <wp:inline distT="0" distB="0" distL="0" distR="0" wp14:anchorId="4600EA2E" wp14:editId="613FDA96">
            <wp:extent cx="5943600" cy="1388110"/>
            <wp:effectExtent l="0" t="0" r="0" b="254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43600" cy="1388110"/>
                    </a:xfrm>
                    <a:prstGeom prst="rect">
                      <a:avLst/>
                    </a:prstGeom>
                  </pic:spPr>
                </pic:pic>
              </a:graphicData>
            </a:graphic>
          </wp:inline>
        </w:drawing>
      </w:r>
    </w:p>
    <w:p w14:paraId="4F1DC3C4" w14:textId="77777777" w:rsidR="00534831" w:rsidRDefault="00534831" w:rsidP="00534831">
      <w:pPr>
        <w:pStyle w:val="NoSpacing"/>
        <w:spacing w:after="120"/>
        <w:jc w:val="center"/>
        <w:rPr>
          <w:b/>
          <w:sz w:val="28"/>
          <w:szCs w:val="24"/>
        </w:rPr>
      </w:pPr>
    </w:p>
    <w:p w14:paraId="495EB38A" w14:textId="77777777" w:rsidR="00DF006D" w:rsidRDefault="00DF006D" w:rsidP="00534831">
      <w:pPr>
        <w:pStyle w:val="NoSpacing"/>
        <w:spacing w:after="120"/>
        <w:jc w:val="center"/>
        <w:rPr>
          <w:b/>
          <w:sz w:val="28"/>
          <w:szCs w:val="24"/>
        </w:rPr>
      </w:pPr>
    </w:p>
    <w:p w14:paraId="111139AF" w14:textId="77777777" w:rsidR="00675E9E" w:rsidRDefault="00143B33" w:rsidP="00E970A2">
      <w:pPr>
        <w:pStyle w:val="NoSpacing"/>
        <w:jc w:val="center"/>
        <w:rPr>
          <w:b/>
          <w:sz w:val="28"/>
          <w:szCs w:val="24"/>
        </w:rPr>
      </w:pPr>
      <w:r>
        <w:rPr>
          <w:b/>
          <w:sz w:val="28"/>
          <w:szCs w:val="24"/>
        </w:rPr>
        <w:t xml:space="preserve">Guidelines and </w:t>
      </w:r>
      <w:r w:rsidR="00E970A2" w:rsidRPr="00415CF0">
        <w:rPr>
          <w:b/>
          <w:sz w:val="28"/>
          <w:szCs w:val="24"/>
        </w:rPr>
        <w:t>Procedures</w:t>
      </w:r>
      <w:r>
        <w:rPr>
          <w:b/>
          <w:sz w:val="28"/>
          <w:szCs w:val="24"/>
        </w:rPr>
        <w:t xml:space="preserve"> </w:t>
      </w:r>
      <w:r w:rsidR="00E970A2" w:rsidRPr="00415CF0">
        <w:rPr>
          <w:b/>
          <w:sz w:val="28"/>
          <w:szCs w:val="24"/>
        </w:rPr>
        <w:t xml:space="preserve">for </w:t>
      </w:r>
      <w:r w:rsidR="00D82F16">
        <w:rPr>
          <w:b/>
          <w:sz w:val="28"/>
          <w:szCs w:val="24"/>
        </w:rPr>
        <w:t xml:space="preserve">UTF </w:t>
      </w:r>
      <w:r w:rsidR="00E970A2" w:rsidRPr="00415CF0">
        <w:rPr>
          <w:b/>
          <w:sz w:val="28"/>
          <w:szCs w:val="24"/>
        </w:rPr>
        <w:t>Evaluations</w:t>
      </w:r>
      <w:r w:rsidR="0076596E">
        <w:rPr>
          <w:b/>
          <w:sz w:val="28"/>
          <w:szCs w:val="24"/>
        </w:rPr>
        <w:t>, Reappointments,</w:t>
      </w:r>
      <w:r w:rsidR="00E970A2" w:rsidRPr="00415CF0">
        <w:rPr>
          <w:b/>
          <w:sz w:val="28"/>
          <w:szCs w:val="24"/>
        </w:rPr>
        <w:t xml:space="preserve"> </w:t>
      </w:r>
    </w:p>
    <w:p w14:paraId="3F307DDB" w14:textId="172C143E" w:rsidR="00722296" w:rsidRPr="00415CF0" w:rsidRDefault="00E970A2" w:rsidP="00E970A2">
      <w:pPr>
        <w:pStyle w:val="NoSpacing"/>
        <w:jc w:val="center"/>
        <w:rPr>
          <w:b/>
          <w:sz w:val="28"/>
          <w:szCs w:val="24"/>
        </w:rPr>
      </w:pPr>
      <w:r w:rsidRPr="00415CF0">
        <w:rPr>
          <w:b/>
          <w:sz w:val="28"/>
          <w:szCs w:val="24"/>
        </w:rPr>
        <w:t>and Promotions</w:t>
      </w:r>
      <w:r w:rsidR="004D10A5" w:rsidRPr="00415CF0">
        <w:rPr>
          <w:b/>
          <w:sz w:val="28"/>
          <w:szCs w:val="24"/>
        </w:rPr>
        <w:t xml:space="preserve"> </w:t>
      </w:r>
    </w:p>
    <w:p w14:paraId="6CCF917A" w14:textId="77777777" w:rsidR="007E4F1E" w:rsidRPr="00415CF0" w:rsidRDefault="007E4F1E" w:rsidP="00E970A2">
      <w:pPr>
        <w:pStyle w:val="NoSpacing"/>
        <w:rPr>
          <w:sz w:val="14"/>
          <w:szCs w:val="24"/>
        </w:rPr>
      </w:pPr>
    </w:p>
    <w:p w14:paraId="2E4F7745" w14:textId="1653B298" w:rsidR="00BD0C53" w:rsidRPr="00833298" w:rsidRDefault="005914ED" w:rsidP="00C70CFD">
      <w:pPr>
        <w:pStyle w:val="NoSpacing"/>
        <w:rPr>
          <w:sz w:val="24"/>
          <w:szCs w:val="24"/>
        </w:rPr>
      </w:pPr>
      <w:r>
        <w:rPr>
          <w:sz w:val="24"/>
          <w:szCs w:val="24"/>
        </w:rPr>
        <w:t xml:space="preserve">In accordance with </w:t>
      </w:r>
      <w:r w:rsidR="0075700F">
        <w:rPr>
          <w:sz w:val="24"/>
          <w:szCs w:val="24"/>
        </w:rPr>
        <w:t xml:space="preserve">the </w:t>
      </w:r>
      <w:r w:rsidR="003712CB">
        <w:rPr>
          <w:sz w:val="24"/>
          <w:szCs w:val="24"/>
        </w:rPr>
        <w:t xml:space="preserve">2022-2025 CMU-UTF </w:t>
      </w:r>
      <w:r w:rsidR="003712CB">
        <w:rPr>
          <w:i/>
          <w:iCs/>
          <w:sz w:val="24"/>
          <w:szCs w:val="24"/>
        </w:rPr>
        <w:t>Agreement</w:t>
      </w:r>
      <w:r w:rsidR="00FE2BEE">
        <w:rPr>
          <w:i/>
          <w:iCs/>
          <w:sz w:val="24"/>
          <w:szCs w:val="24"/>
        </w:rPr>
        <w:t xml:space="preserve"> </w:t>
      </w:r>
      <w:r w:rsidR="00C62D09">
        <w:rPr>
          <w:sz w:val="24"/>
          <w:szCs w:val="24"/>
        </w:rPr>
        <w:t>(Articles 9 and 11)</w:t>
      </w:r>
      <w:r w:rsidR="00360A94">
        <w:rPr>
          <w:sz w:val="24"/>
          <w:szCs w:val="24"/>
        </w:rPr>
        <w:t xml:space="preserve">, the College of Business </w:t>
      </w:r>
      <w:r w:rsidR="00910652">
        <w:rPr>
          <w:sz w:val="24"/>
          <w:szCs w:val="24"/>
        </w:rPr>
        <w:t xml:space="preserve">Administration (CBA) </w:t>
      </w:r>
      <w:r w:rsidR="00903641">
        <w:rPr>
          <w:sz w:val="24"/>
          <w:szCs w:val="24"/>
        </w:rPr>
        <w:t>has established the following guidelines</w:t>
      </w:r>
      <w:r w:rsidR="00174B6D">
        <w:rPr>
          <w:sz w:val="24"/>
          <w:szCs w:val="24"/>
        </w:rPr>
        <w:t xml:space="preserve"> regarding the evaluation and promotion </w:t>
      </w:r>
      <w:r w:rsidR="00FE2BEE">
        <w:rPr>
          <w:sz w:val="24"/>
          <w:szCs w:val="24"/>
        </w:rPr>
        <w:t>of fixed-term faculty</w:t>
      </w:r>
      <w:r w:rsidR="00D52239">
        <w:rPr>
          <w:sz w:val="24"/>
          <w:szCs w:val="24"/>
        </w:rPr>
        <w:t>.</w:t>
      </w:r>
    </w:p>
    <w:p w14:paraId="32F8C098" w14:textId="77777777" w:rsidR="00BD0C53" w:rsidRDefault="00BD0C53" w:rsidP="00C70CFD">
      <w:pPr>
        <w:pStyle w:val="NoSpacing"/>
        <w:rPr>
          <w:sz w:val="24"/>
          <w:szCs w:val="24"/>
        </w:rPr>
      </w:pPr>
    </w:p>
    <w:p w14:paraId="170DDA16" w14:textId="153A953C" w:rsidR="00611828" w:rsidRDefault="00DB4F0D" w:rsidP="00C70CFD">
      <w:pPr>
        <w:pStyle w:val="NoSpacing"/>
        <w:rPr>
          <w:sz w:val="24"/>
          <w:szCs w:val="24"/>
        </w:rPr>
      </w:pPr>
      <w:r>
        <w:rPr>
          <w:sz w:val="24"/>
          <w:szCs w:val="24"/>
        </w:rPr>
        <w:t xml:space="preserve">As stated in the </w:t>
      </w:r>
      <w:r>
        <w:rPr>
          <w:i/>
          <w:iCs/>
          <w:sz w:val="24"/>
          <w:szCs w:val="24"/>
        </w:rPr>
        <w:t>Agreement</w:t>
      </w:r>
      <w:r w:rsidR="000E4058">
        <w:rPr>
          <w:sz w:val="24"/>
          <w:szCs w:val="24"/>
        </w:rPr>
        <w:t xml:space="preserve"> (A</w:t>
      </w:r>
      <w:r w:rsidR="006461AD">
        <w:rPr>
          <w:sz w:val="24"/>
          <w:szCs w:val="24"/>
        </w:rPr>
        <w:t>rticle 9.A)</w:t>
      </w:r>
      <w:r>
        <w:rPr>
          <w:sz w:val="24"/>
          <w:szCs w:val="24"/>
        </w:rPr>
        <w:t xml:space="preserve">, </w:t>
      </w:r>
      <w:r w:rsidR="00A2021F">
        <w:rPr>
          <w:sz w:val="24"/>
          <w:szCs w:val="24"/>
        </w:rPr>
        <w:t>all UTF Faculty are appointed with the designation of Lecturer 1 (L</w:t>
      </w:r>
      <w:r w:rsidR="006D76C3">
        <w:rPr>
          <w:sz w:val="24"/>
          <w:szCs w:val="24"/>
        </w:rPr>
        <w:t xml:space="preserve">1), Lecturer 2 (L2), or </w:t>
      </w:r>
      <w:r w:rsidR="00B7548C">
        <w:rPr>
          <w:sz w:val="24"/>
          <w:szCs w:val="24"/>
        </w:rPr>
        <w:t>Lecturer 3 (L3).</w:t>
      </w:r>
      <w:r w:rsidR="00BF4D27">
        <w:rPr>
          <w:sz w:val="24"/>
          <w:szCs w:val="24"/>
        </w:rPr>
        <w:t xml:space="preserve"> </w:t>
      </w:r>
      <w:r w:rsidR="001B3477">
        <w:rPr>
          <w:sz w:val="24"/>
          <w:szCs w:val="24"/>
        </w:rPr>
        <w:t>The hiring designation and appointment letter</w:t>
      </w:r>
      <w:r w:rsidR="003F60F9">
        <w:rPr>
          <w:sz w:val="24"/>
          <w:szCs w:val="24"/>
        </w:rPr>
        <w:t xml:space="preserve"> dictate the timing and frequency of </w:t>
      </w:r>
      <w:r w:rsidR="006B01A9">
        <w:rPr>
          <w:sz w:val="24"/>
          <w:szCs w:val="24"/>
        </w:rPr>
        <w:t>formal evaluations.</w:t>
      </w:r>
    </w:p>
    <w:p w14:paraId="59811026" w14:textId="77777777" w:rsidR="00805D65" w:rsidRDefault="00805D65" w:rsidP="00805D65">
      <w:pPr>
        <w:spacing w:after="0" w:line="240" w:lineRule="auto"/>
        <w:rPr>
          <w:rFonts w:ascii="Trebuchet MS" w:hAnsi="Trebuchet MS" w:cs="Trebuchet MS"/>
          <w:color w:val="000000"/>
          <w:sz w:val="24"/>
          <w:szCs w:val="24"/>
        </w:rPr>
      </w:pPr>
    </w:p>
    <w:p w14:paraId="47556576" w14:textId="3FAFFAFF" w:rsidR="00805D65" w:rsidRPr="00FD513F" w:rsidRDefault="00805D65" w:rsidP="00FD513F">
      <w:pPr>
        <w:pStyle w:val="NoSpacing"/>
        <w:rPr>
          <w:sz w:val="24"/>
          <w:szCs w:val="24"/>
        </w:rPr>
      </w:pPr>
      <w:r w:rsidRPr="00FD513F">
        <w:rPr>
          <w:sz w:val="24"/>
          <w:szCs w:val="24"/>
        </w:rPr>
        <w:t xml:space="preserve">Quality teaching is paramount in the evaluation of faculty applying for </w:t>
      </w:r>
      <w:r w:rsidR="00A43859" w:rsidRPr="00FD513F">
        <w:rPr>
          <w:sz w:val="24"/>
          <w:szCs w:val="24"/>
        </w:rPr>
        <w:t xml:space="preserve">reappointment or </w:t>
      </w:r>
      <w:r w:rsidRPr="00FD513F">
        <w:rPr>
          <w:sz w:val="24"/>
          <w:szCs w:val="24"/>
        </w:rPr>
        <w:t xml:space="preserve">promotion and must not become a secondary interest or consideration, as </w:t>
      </w:r>
      <w:r w:rsidR="002815ED" w:rsidRPr="00FD513F">
        <w:rPr>
          <w:sz w:val="24"/>
          <w:szCs w:val="24"/>
        </w:rPr>
        <w:t>articulated</w:t>
      </w:r>
      <w:r w:rsidRPr="00FD513F">
        <w:rPr>
          <w:sz w:val="24"/>
          <w:szCs w:val="24"/>
        </w:rPr>
        <w:t xml:space="preserve"> in the UTF Agreement:</w:t>
      </w:r>
    </w:p>
    <w:p w14:paraId="322229AC" w14:textId="77777777" w:rsidR="00805D65" w:rsidRPr="00FD513F" w:rsidRDefault="00805D65" w:rsidP="00FD513F">
      <w:pPr>
        <w:pStyle w:val="NoSpacing"/>
        <w:rPr>
          <w:sz w:val="24"/>
          <w:szCs w:val="24"/>
        </w:rPr>
      </w:pPr>
    </w:p>
    <w:p w14:paraId="63A5821A" w14:textId="77777777" w:rsidR="00805D65" w:rsidRPr="00FD513F" w:rsidRDefault="00805D65" w:rsidP="00FD513F">
      <w:pPr>
        <w:pStyle w:val="NoSpacing"/>
        <w:ind w:left="720"/>
        <w:rPr>
          <w:sz w:val="24"/>
          <w:szCs w:val="24"/>
        </w:rPr>
      </w:pPr>
      <w:r w:rsidRPr="00FD513F">
        <w:rPr>
          <w:sz w:val="24"/>
          <w:szCs w:val="24"/>
        </w:rPr>
        <w:t>The basis upon which an Employee will be evaluated is that of instruction and instruction-related responsibilities. Other professional activities, such as publications and conference presentations, which benefit the reputation of CMU, may be considered as part of the evaluation process; however, the quality of Employees’ teaching is the paramount concern in the evaluation process and the absence of other professional activities will not be used as evidence against an Employee (Article 11.A).</w:t>
      </w:r>
    </w:p>
    <w:p w14:paraId="5F7CF862" w14:textId="77777777" w:rsidR="00805D65" w:rsidRPr="00FD513F" w:rsidRDefault="00805D65" w:rsidP="00FD513F">
      <w:pPr>
        <w:pStyle w:val="NoSpacing"/>
        <w:rPr>
          <w:sz w:val="24"/>
          <w:szCs w:val="24"/>
        </w:rPr>
      </w:pPr>
    </w:p>
    <w:p w14:paraId="5851B8BE" w14:textId="04A8FFD4" w:rsidR="00805D65" w:rsidRDefault="00805D65" w:rsidP="00FD513F">
      <w:pPr>
        <w:pStyle w:val="NoSpacing"/>
        <w:rPr>
          <w:sz w:val="24"/>
          <w:szCs w:val="24"/>
        </w:rPr>
      </w:pPr>
      <w:r w:rsidRPr="00FD513F">
        <w:rPr>
          <w:sz w:val="24"/>
          <w:szCs w:val="24"/>
        </w:rPr>
        <w:t xml:space="preserve">Additionally, </w:t>
      </w:r>
      <w:r w:rsidR="00E84B41">
        <w:rPr>
          <w:sz w:val="24"/>
          <w:szCs w:val="24"/>
        </w:rPr>
        <w:t xml:space="preserve">CBA </w:t>
      </w:r>
      <w:r w:rsidR="00F842E0">
        <w:rPr>
          <w:sz w:val="24"/>
          <w:szCs w:val="24"/>
        </w:rPr>
        <w:t>faculty</w:t>
      </w:r>
      <w:r w:rsidRPr="00FD513F">
        <w:rPr>
          <w:sz w:val="24"/>
          <w:szCs w:val="24"/>
        </w:rPr>
        <w:t xml:space="preserve"> must meet other scholarly, professional activity, and participation requirements connected with AACSB accreditation standards</w:t>
      </w:r>
      <w:r w:rsidR="00D534A5">
        <w:rPr>
          <w:sz w:val="24"/>
          <w:szCs w:val="24"/>
        </w:rPr>
        <w:t xml:space="preserve"> (see </w:t>
      </w:r>
      <w:r w:rsidR="00511AA9">
        <w:rPr>
          <w:sz w:val="24"/>
          <w:szCs w:val="24"/>
        </w:rPr>
        <w:t xml:space="preserve">CBA’s </w:t>
      </w:r>
      <w:r w:rsidR="00A8015F">
        <w:rPr>
          <w:sz w:val="24"/>
          <w:szCs w:val="24"/>
        </w:rPr>
        <w:t>“AACSB Faculty Qualification</w:t>
      </w:r>
      <w:r w:rsidR="00E05679">
        <w:rPr>
          <w:sz w:val="24"/>
          <w:szCs w:val="24"/>
        </w:rPr>
        <w:t xml:space="preserve"> and Faculty Sufficiency Guidelines”)</w:t>
      </w:r>
      <w:r w:rsidRPr="00FD513F">
        <w:rPr>
          <w:sz w:val="24"/>
          <w:szCs w:val="24"/>
        </w:rPr>
        <w:t>.</w:t>
      </w:r>
    </w:p>
    <w:p w14:paraId="49ABF73D" w14:textId="77777777" w:rsidR="00B52BE2" w:rsidRDefault="00B52BE2" w:rsidP="00FD513F">
      <w:pPr>
        <w:pStyle w:val="NoSpacing"/>
        <w:rPr>
          <w:sz w:val="24"/>
          <w:szCs w:val="24"/>
        </w:rPr>
      </w:pPr>
    </w:p>
    <w:p w14:paraId="4F1D8424" w14:textId="752B515A" w:rsidR="00B52BE2" w:rsidRDefault="00405625" w:rsidP="00FD513F">
      <w:pPr>
        <w:pStyle w:val="NoSpacing"/>
        <w:rPr>
          <w:sz w:val="24"/>
          <w:szCs w:val="24"/>
        </w:rPr>
      </w:pPr>
      <w:r w:rsidRPr="00405625">
        <w:rPr>
          <w:sz w:val="24"/>
          <w:szCs w:val="24"/>
        </w:rPr>
        <w:t>As stated in the UTF Agreement, “It is understood that greater scrutiny may be utilized during the evaluation for purposes of promotion in rank</w:t>
      </w:r>
      <w:r w:rsidR="006F70B9">
        <w:rPr>
          <w:sz w:val="24"/>
          <w:szCs w:val="24"/>
        </w:rPr>
        <w:t>—i</w:t>
      </w:r>
      <w:r w:rsidRPr="00405625">
        <w:rPr>
          <w:sz w:val="24"/>
          <w:szCs w:val="24"/>
        </w:rPr>
        <w:t>.e., from Lecturer I to Lecturer II, and from Lecturer II to Lecturer III” (Article 11.D). In assessing an applicant’s submission, the department shall look for evidence that the applicant’s teaching has been of high quality over a continuous period and is of that high quality at the time of the application for promotion.</w:t>
      </w:r>
    </w:p>
    <w:p w14:paraId="0907EE1A" w14:textId="77777777" w:rsidR="00E82E33" w:rsidRDefault="00E82E33" w:rsidP="00E82E33">
      <w:pPr>
        <w:pStyle w:val="NoSpacing"/>
        <w:rPr>
          <w:sz w:val="24"/>
          <w:szCs w:val="24"/>
        </w:rPr>
      </w:pPr>
    </w:p>
    <w:p w14:paraId="64C49FC9" w14:textId="450FC511" w:rsidR="00E82E33" w:rsidRPr="00415CF0" w:rsidRDefault="00E82E33" w:rsidP="00E82E33">
      <w:pPr>
        <w:pStyle w:val="NoSpacing"/>
        <w:rPr>
          <w:sz w:val="24"/>
          <w:szCs w:val="24"/>
        </w:rPr>
      </w:pPr>
      <w:r w:rsidRPr="00415CF0">
        <w:rPr>
          <w:sz w:val="24"/>
          <w:szCs w:val="24"/>
        </w:rPr>
        <w:t>For faculty teaching in more than one department, evaluations may be given by both chairs, but rehire recommendations come from the home department where a faculty was initially hired. The following table outlines the critical dates in the process.</w:t>
      </w:r>
    </w:p>
    <w:p w14:paraId="590D0D50" w14:textId="77777777" w:rsidR="00E82E33" w:rsidRPr="00FD513F" w:rsidRDefault="00E82E33" w:rsidP="00FD513F">
      <w:pPr>
        <w:pStyle w:val="NoSpacing"/>
        <w:rPr>
          <w:sz w:val="24"/>
          <w:szCs w:val="24"/>
        </w:rPr>
      </w:pPr>
    </w:p>
    <w:p w14:paraId="7D8EBC4F" w14:textId="77777777" w:rsidR="00805D65" w:rsidRDefault="00805D65" w:rsidP="00C70CFD">
      <w:pPr>
        <w:pStyle w:val="NoSpacing"/>
        <w:rPr>
          <w:sz w:val="24"/>
          <w:szCs w:val="24"/>
        </w:rPr>
      </w:pPr>
    </w:p>
    <w:p w14:paraId="616D38CA" w14:textId="126A5FB4" w:rsidR="00906012" w:rsidRPr="00D82366" w:rsidRDefault="00906012" w:rsidP="00E82E33">
      <w:pPr>
        <w:pStyle w:val="NoSpacing"/>
        <w:keepNext/>
        <w:spacing w:after="120"/>
        <w:rPr>
          <w:b/>
          <w:bCs/>
          <w:sz w:val="24"/>
          <w:szCs w:val="24"/>
        </w:rPr>
      </w:pPr>
      <w:r w:rsidRPr="00D82366">
        <w:rPr>
          <w:b/>
          <w:bCs/>
          <w:sz w:val="24"/>
          <w:szCs w:val="24"/>
        </w:rPr>
        <w:t>Eva</w:t>
      </w:r>
      <w:r w:rsidR="00D82366" w:rsidRPr="00D82366">
        <w:rPr>
          <w:b/>
          <w:bCs/>
          <w:sz w:val="24"/>
          <w:szCs w:val="24"/>
        </w:rPr>
        <w:t>luation Process</w:t>
      </w:r>
    </w:p>
    <w:p w14:paraId="4812CFF7" w14:textId="727EA1C6" w:rsidR="00CF0225" w:rsidRPr="00CF0225" w:rsidRDefault="008F797E" w:rsidP="00E82E33">
      <w:pPr>
        <w:pStyle w:val="ListParagraph"/>
        <w:keepNext/>
        <w:numPr>
          <w:ilvl w:val="0"/>
          <w:numId w:val="1"/>
        </w:numPr>
        <w:spacing w:after="80" w:line="240" w:lineRule="auto"/>
        <w:contextualSpacing w:val="0"/>
        <w:rPr>
          <w:sz w:val="24"/>
          <w:szCs w:val="24"/>
        </w:rPr>
      </w:pPr>
      <w:r w:rsidRPr="002741DB">
        <w:rPr>
          <w:i/>
          <w:iCs/>
          <w:sz w:val="24"/>
          <w:szCs w:val="24"/>
        </w:rPr>
        <w:t>Fixed-Term Faculty Submission.</w:t>
      </w:r>
      <w:r>
        <w:rPr>
          <w:sz w:val="24"/>
          <w:szCs w:val="24"/>
        </w:rPr>
        <w:t xml:space="preserve"> </w:t>
      </w:r>
      <w:r w:rsidR="00CF0225" w:rsidRPr="00CF0225">
        <w:rPr>
          <w:sz w:val="24"/>
          <w:szCs w:val="24"/>
        </w:rPr>
        <w:t>Lecturers submit evidence of teaching performance</w:t>
      </w:r>
      <w:r w:rsidR="00063368">
        <w:rPr>
          <w:sz w:val="24"/>
          <w:szCs w:val="24"/>
        </w:rPr>
        <w:t xml:space="preserve"> and </w:t>
      </w:r>
      <w:r w:rsidR="00EB0C29">
        <w:rPr>
          <w:sz w:val="24"/>
          <w:szCs w:val="24"/>
        </w:rPr>
        <w:t xml:space="preserve">evidence of other activities connected </w:t>
      </w:r>
      <w:r w:rsidR="00D272EC">
        <w:rPr>
          <w:sz w:val="24"/>
          <w:szCs w:val="24"/>
        </w:rPr>
        <w:t>to AACSB faculty qualifications and sufficiency</w:t>
      </w:r>
      <w:r>
        <w:rPr>
          <w:sz w:val="24"/>
          <w:szCs w:val="24"/>
        </w:rPr>
        <w:t xml:space="preserve"> as outlined in Evaluation Materials below</w:t>
      </w:r>
      <w:r w:rsidR="00D272EC">
        <w:rPr>
          <w:sz w:val="24"/>
          <w:szCs w:val="24"/>
        </w:rPr>
        <w:t>.</w:t>
      </w:r>
    </w:p>
    <w:p w14:paraId="71F29E61" w14:textId="1A3F1627" w:rsidR="00204C0D" w:rsidRPr="007F5368" w:rsidRDefault="00796301" w:rsidP="001B7AE4">
      <w:pPr>
        <w:pStyle w:val="ListParagraph"/>
        <w:numPr>
          <w:ilvl w:val="0"/>
          <w:numId w:val="1"/>
        </w:numPr>
        <w:spacing w:after="80" w:line="240" w:lineRule="auto"/>
        <w:contextualSpacing w:val="0"/>
        <w:rPr>
          <w:sz w:val="24"/>
          <w:szCs w:val="24"/>
        </w:rPr>
      </w:pPr>
      <w:r w:rsidRPr="0005454C">
        <w:rPr>
          <w:i/>
          <w:iCs/>
          <w:sz w:val="24"/>
          <w:szCs w:val="24"/>
        </w:rPr>
        <w:t>Department Chair Review.</w:t>
      </w:r>
      <w:r w:rsidR="007F5368">
        <w:rPr>
          <w:sz w:val="24"/>
          <w:szCs w:val="24"/>
        </w:rPr>
        <w:t xml:space="preserve"> </w:t>
      </w:r>
      <w:r w:rsidR="005428B4">
        <w:rPr>
          <w:sz w:val="24"/>
          <w:szCs w:val="24"/>
        </w:rPr>
        <w:t>D</w:t>
      </w:r>
      <w:r w:rsidR="00AE5F5D">
        <w:rPr>
          <w:sz w:val="24"/>
          <w:szCs w:val="24"/>
        </w:rPr>
        <w:t xml:space="preserve">epartment chairs review and evaluate materials provided and </w:t>
      </w:r>
      <w:r w:rsidR="00B65E28">
        <w:rPr>
          <w:sz w:val="24"/>
          <w:szCs w:val="24"/>
        </w:rPr>
        <w:t>recommend</w:t>
      </w:r>
      <w:r w:rsidR="00AE5F5D">
        <w:rPr>
          <w:sz w:val="24"/>
          <w:szCs w:val="24"/>
        </w:rPr>
        <w:t xml:space="preserve"> non-renewal, </w:t>
      </w:r>
      <w:r w:rsidR="00D2584D">
        <w:rPr>
          <w:sz w:val="24"/>
          <w:szCs w:val="24"/>
        </w:rPr>
        <w:t>reappointment</w:t>
      </w:r>
      <w:r w:rsidR="00AE5F5D">
        <w:rPr>
          <w:sz w:val="24"/>
          <w:szCs w:val="24"/>
        </w:rPr>
        <w:t>, or</w:t>
      </w:r>
      <w:r w:rsidR="00D2584D">
        <w:rPr>
          <w:sz w:val="24"/>
          <w:szCs w:val="24"/>
        </w:rPr>
        <w:t xml:space="preserve"> promotion</w:t>
      </w:r>
      <w:r w:rsidR="00204C0D" w:rsidRPr="007F5368">
        <w:rPr>
          <w:sz w:val="24"/>
          <w:szCs w:val="24"/>
        </w:rPr>
        <w:t xml:space="preserve">. </w:t>
      </w:r>
      <w:r w:rsidR="00D2584D">
        <w:rPr>
          <w:sz w:val="24"/>
          <w:szCs w:val="24"/>
        </w:rPr>
        <w:t>In all in</w:t>
      </w:r>
      <w:r w:rsidR="005F2DA7">
        <w:rPr>
          <w:sz w:val="24"/>
          <w:szCs w:val="24"/>
        </w:rPr>
        <w:t>stances</w:t>
      </w:r>
      <w:r w:rsidR="00B65E28">
        <w:rPr>
          <w:sz w:val="24"/>
          <w:szCs w:val="24"/>
        </w:rPr>
        <w:t>,</w:t>
      </w:r>
      <w:r w:rsidR="005F2DA7">
        <w:rPr>
          <w:sz w:val="24"/>
          <w:szCs w:val="24"/>
        </w:rPr>
        <w:t xml:space="preserve"> the evaluation judgment </w:t>
      </w:r>
      <w:r w:rsidR="00151A00">
        <w:rPr>
          <w:sz w:val="24"/>
          <w:szCs w:val="24"/>
        </w:rPr>
        <w:t>must be in writing.</w:t>
      </w:r>
      <w:r w:rsidR="00204C0D" w:rsidRPr="007F5368">
        <w:rPr>
          <w:sz w:val="24"/>
          <w:szCs w:val="24"/>
        </w:rPr>
        <w:t xml:space="preserve"> </w:t>
      </w:r>
    </w:p>
    <w:p w14:paraId="5B5474CC" w14:textId="6348F69F" w:rsidR="003942B0" w:rsidRPr="003942B0" w:rsidRDefault="00204C0D" w:rsidP="003942B0">
      <w:pPr>
        <w:pStyle w:val="ListParagraph"/>
        <w:numPr>
          <w:ilvl w:val="0"/>
          <w:numId w:val="1"/>
        </w:numPr>
        <w:spacing w:after="80" w:line="240" w:lineRule="auto"/>
        <w:rPr>
          <w:sz w:val="24"/>
          <w:szCs w:val="24"/>
        </w:rPr>
      </w:pPr>
      <w:r w:rsidRPr="0005454C">
        <w:rPr>
          <w:i/>
          <w:iCs/>
          <w:sz w:val="24"/>
          <w:szCs w:val="24"/>
        </w:rPr>
        <w:t>Dean review</w:t>
      </w:r>
      <w:r w:rsidR="0005454C" w:rsidRPr="0005454C">
        <w:rPr>
          <w:i/>
          <w:iCs/>
          <w:sz w:val="24"/>
          <w:szCs w:val="24"/>
        </w:rPr>
        <w:t>.</w:t>
      </w:r>
      <w:r w:rsidR="0005454C">
        <w:rPr>
          <w:sz w:val="24"/>
          <w:szCs w:val="24"/>
        </w:rPr>
        <w:t xml:space="preserve"> </w:t>
      </w:r>
      <w:r w:rsidRPr="00204C0D">
        <w:rPr>
          <w:sz w:val="24"/>
          <w:szCs w:val="24"/>
        </w:rPr>
        <w:t>Chairs will submit evaluations and recommendations to the Dean</w:t>
      </w:r>
      <w:r w:rsidR="003942B0">
        <w:rPr>
          <w:sz w:val="24"/>
          <w:szCs w:val="24"/>
        </w:rPr>
        <w:t xml:space="preserve">. </w:t>
      </w:r>
      <w:proofErr w:type="gramStart"/>
      <w:r w:rsidR="00E55793">
        <w:rPr>
          <w:sz w:val="24"/>
          <w:szCs w:val="24"/>
        </w:rPr>
        <w:t xml:space="preserve">If </w:t>
      </w:r>
      <w:r w:rsidR="003942B0" w:rsidRPr="003942B0">
        <w:rPr>
          <w:sz w:val="24"/>
          <w:szCs w:val="24"/>
        </w:rPr>
        <w:t xml:space="preserve"> approved</w:t>
      </w:r>
      <w:proofErr w:type="gramEnd"/>
      <w:r w:rsidR="003942B0" w:rsidRPr="003942B0">
        <w:rPr>
          <w:sz w:val="24"/>
          <w:szCs w:val="24"/>
        </w:rPr>
        <w:t xml:space="preserve"> by the Dean, the department chair will notify each employee of the recommendation. A copy of the evaluation will be provided to the employee using the timeline below. If the Dean is not in agreement with </w:t>
      </w:r>
      <w:r w:rsidR="0063614C">
        <w:rPr>
          <w:sz w:val="24"/>
          <w:szCs w:val="24"/>
        </w:rPr>
        <w:t>the department chair</w:t>
      </w:r>
      <w:r w:rsidR="003942B0" w:rsidRPr="003942B0">
        <w:rPr>
          <w:sz w:val="24"/>
          <w:szCs w:val="24"/>
        </w:rPr>
        <w:t xml:space="preserve"> recommendation, </w:t>
      </w:r>
      <w:r w:rsidR="00BC7E11">
        <w:rPr>
          <w:sz w:val="24"/>
          <w:szCs w:val="24"/>
        </w:rPr>
        <w:t xml:space="preserve">the </w:t>
      </w:r>
      <w:r w:rsidR="00B6453C">
        <w:rPr>
          <w:sz w:val="24"/>
          <w:szCs w:val="24"/>
        </w:rPr>
        <w:t xml:space="preserve">Dean will provide a </w:t>
      </w:r>
      <w:r w:rsidR="003942B0" w:rsidRPr="003942B0">
        <w:rPr>
          <w:sz w:val="24"/>
          <w:szCs w:val="24"/>
        </w:rPr>
        <w:t>written explanation to the</w:t>
      </w:r>
      <w:r w:rsidR="00B6453C">
        <w:rPr>
          <w:sz w:val="24"/>
          <w:szCs w:val="24"/>
        </w:rPr>
        <w:t xml:space="preserve"> chair, the </w:t>
      </w:r>
      <w:r w:rsidR="007E5900">
        <w:rPr>
          <w:sz w:val="24"/>
          <w:szCs w:val="24"/>
        </w:rPr>
        <w:t>fixed-term faculty</w:t>
      </w:r>
      <w:r w:rsidR="003942B0" w:rsidRPr="003942B0">
        <w:rPr>
          <w:sz w:val="24"/>
          <w:szCs w:val="24"/>
        </w:rPr>
        <w:t xml:space="preserve">, and the UTF union. </w:t>
      </w:r>
    </w:p>
    <w:p w14:paraId="4C2A13C8" w14:textId="74CE4903" w:rsidR="00CF0225" w:rsidRPr="00652B1B" w:rsidRDefault="00204C0D" w:rsidP="00652B1B">
      <w:pPr>
        <w:pStyle w:val="ListParagraph"/>
        <w:numPr>
          <w:ilvl w:val="0"/>
          <w:numId w:val="1"/>
        </w:numPr>
        <w:spacing w:after="80" w:line="240" w:lineRule="auto"/>
        <w:contextualSpacing w:val="0"/>
        <w:rPr>
          <w:sz w:val="24"/>
          <w:szCs w:val="24"/>
        </w:rPr>
      </w:pPr>
      <w:r w:rsidRPr="00820F68">
        <w:rPr>
          <w:sz w:val="24"/>
          <w:szCs w:val="24"/>
        </w:rPr>
        <w:t>Lecturers may appeal a negative evaluation, following the procedures in the</w:t>
      </w:r>
      <w:r w:rsidR="00477513" w:rsidRPr="00820F68">
        <w:rPr>
          <w:sz w:val="24"/>
          <w:szCs w:val="24"/>
        </w:rPr>
        <w:t xml:space="preserve"> UTF</w:t>
      </w:r>
      <w:r w:rsidRPr="00820F68">
        <w:rPr>
          <w:sz w:val="24"/>
          <w:szCs w:val="24"/>
        </w:rPr>
        <w:t xml:space="preserve"> </w:t>
      </w:r>
      <w:r w:rsidRPr="00820F68">
        <w:rPr>
          <w:i/>
          <w:iCs/>
          <w:sz w:val="24"/>
          <w:szCs w:val="24"/>
        </w:rPr>
        <w:t>Agreement</w:t>
      </w:r>
      <w:r w:rsidRPr="00820F68">
        <w:rPr>
          <w:sz w:val="24"/>
          <w:szCs w:val="24"/>
        </w:rPr>
        <w:t>.</w:t>
      </w:r>
      <w:r w:rsidR="00796301" w:rsidRPr="00820F68">
        <w:rPr>
          <w:sz w:val="24"/>
          <w:szCs w:val="24"/>
        </w:rPr>
        <w:t xml:space="preserve"> </w:t>
      </w:r>
    </w:p>
    <w:p w14:paraId="1A4AEB49" w14:textId="1C9A3AC3" w:rsidR="00092181" w:rsidRPr="00D82366" w:rsidRDefault="00092181" w:rsidP="003F6B38">
      <w:pPr>
        <w:pStyle w:val="NoSpacing"/>
        <w:spacing w:before="240" w:after="120"/>
        <w:rPr>
          <w:b/>
          <w:bCs/>
          <w:sz w:val="24"/>
          <w:szCs w:val="24"/>
        </w:rPr>
      </w:pPr>
      <w:r w:rsidRPr="00D82366">
        <w:rPr>
          <w:b/>
          <w:bCs/>
          <w:sz w:val="24"/>
          <w:szCs w:val="24"/>
        </w:rPr>
        <w:t xml:space="preserve">Evaluation </w:t>
      </w:r>
      <w:r>
        <w:rPr>
          <w:b/>
          <w:bCs/>
          <w:sz w:val="24"/>
          <w:szCs w:val="24"/>
        </w:rPr>
        <w:t>Timing</w:t>
      </w:r>
    </w:p>
    <w:p w14:paraId="77CBA4F9" w14:textId="151287C3" w:rsidR="00861917" w:rsidRPr="007724B9" w:rsidRDefault="00861917" w:rsidP="007724B9">
      <w:pPr>
        <w:pStyle w:val="ListParagraph"/>
        <w:numPr>
          <w:ilvl w:val="0"/>
          <w:numId w:val="2"/>
        </w:numPr>
        <w:spacing w:after="60" w:line="240" w:lineRule="auto"/>
        <w:rPr>
          <w:i/>
          <w:iCs/>
          <w:sz w:val="24"/>
          <w:szCs w:val="24"/>
        </w:rPr>
      </w:pPr>
      <w:r w:rsidRPr="007724B9">
        <w:rPr>
          <w:i/>
          <w:iCs/>
          <w:sz w:val="24"/>
          <w:szCs w:val="24"/>
        </w:rPr>
        <w:t>Lecturer I</w:t>
      </w:r>
    </w:p>
    <w:p w14:paraId="2D4095E3" w14:textId="77777777" w:rsidR="007724B9" w:rsidRDefault="00861917" w:rsidP="00861917">
      <w:pPr>
        <w:pStyle w:val="ListParagraph"/>
        <w:numPr>
          <w:ilvl w:val="0"/>
          <w:numId w:val="3"/>
        </w:numPr>
        <w:spacing w:after="60" w:line="240" w:lineRule="auto"/>
        <w:rPr>
          <w:sz w:val="24"/>
          <w:szCs w:val="24"/>
        </w:rPr>
      </w:pPr>
      <w:r w:rsidRPr="007724B9">
        <w:rPr>
          <w:sz w:val="24"/>
          <w:szCs w:val="24"/>
        </w:rPr>
        <w:t xml:space="preserve">If appointed on a per semester basis, evaluations will be conducted every other </w:t>
      </w:r>
      <w:proofErr w:type="gramStart"/>
      <w:r w:rsidRPr="007724B9">
        <w:rPr>
          <w:sz w:val="24"/>
          <w:szCs w:val="24"/>
        </w:rPr>
        <w:t>semester</w:t>
      </w:r>
      <w:proofErr w:type="gramEnd"/>
    </w:p>
    <w:p w14:paraId="5CCBA25B" w14:textId="77777777" w:rsidR="00E86DB4" w:rsidRDefault="00861917" w:rsidP="00E86DB4">
      <w:pPr>
        <w:pStyle w:val="ListParagraph"/>
        <w:numPr>
          <w:ilvl w:val="0"/>
          <w:numId w:val="3"/>
        </w:numPr>
        <w:spacing w:after="60" w:line="240" w:lineRule="auto"/>
        <w:rPr>
          <w:sz w:val="24"/>
          <w:szCs w:val="24"/>
        </w:rPr>
      </w:pPr>
      <w:r w:rsidRPr="007724B9">
        <w:rPr>
          <w:sz w:val="24"/>
          <w:szCs w:val="24"/>
        </w:rPr>
        <w:t xml:space="preserve">If appointed on an academic year basis, evaluations will be conducted during Spring </w:t>
      </w:r>
      <w:proofErr w:type="gramStart"/>
      <w:r w:rsidRPr="007724B9">
        <w:rPr>
          <w:sz w:val="24"/>
          <w:szCs w:val="24"/>
        </w:rPr>
        <w:t>semester</w:t>
      </w:r>
      <w:proofErr w:type="gramEnd"/>
    </w:p>
    <w:p w14:paraId="27B5B778" w14:textId="4A9A89AC" w:rsidR="00861917" w:rsidRPr="00E86DB4" w:rsidRDefault="00E86DB4" w:rsidP="00E86DB4">
      <w:pPr>
        <w:spacing w:after="60" w:line="240" w:lineRule="auto"/>
        <w:ind w:left="720" w:hanging="360"/>
        <w:rPr>
          <w:sz w:val="24"/>
          <w:szCs w:val="24"/>
        </w:rPr>
      </w:pPr>
      <w:r w:rsidRPr="00E86DB4">
        <w:rPr>
          <w:sz w:val="24"/>
          <w:szCs w:val="24"/>
        </w:rPr>
        <w:t xml:space="preserve">(b) </w:t>
      </w:r>
      <w:r w:rsidR="00861917" w:rsidRPr="00E37A2F">
        <w:rPr>
          <w:i/>
          <w:iCs/>
          <w:sz w:val="24"/>
          <w:szCs w:val="24"/>
        </w:rPr>
        <w:t>Lecture</w:t>
      </w:r>
      <w:r w:rsidR="000E3863">
        <w:rPr>
          <w:i/>
          <w:iCs/>
          <w:sz w:val="24"/>
          <w:szCs w:val="24"/>
        </w:rPr>
        <w:t>r</w:t>
      </w:r>
      <w:r w:rsidR="00861917" w:rsidRPr="00E37A2F">
        <w:rPr>
          <w:i/>
          <w:iCs/>
          <w:sz w:val="24"/>
          <w:szCs w:val="24"/>
        </w:rPr>
        <w:t xml:space="preserve"> II and III</w:t>
      </w:r>
    </w:p>
    <w:p w14:paraId="03F6D8FF" w14:textId="1E35BFB5" w:rsidR="001B2F98" w:rsidRDefault="00861917" w:rsidP="00E37A2F">
      <w:pPr>
        <w:pStyle w:val="ListParagraph"/>
        <w:numPr>
          <w:ilvl w:val="0"/>
          <w:numId w:val="4"/>
        </w:numPr>
        <w:spacing w:after="60" w:line="240" w:lineRule="auto"/>
        <w:rPr>
          <w:sz w:val="24"/>
          <w:szCs w:val="24"/>
        </w:rPr>
      </w:pPr>
      <w:r w:rsidRPr="00E37A2F">
        <w:rPr>
          <w:sz w:val="24"/>
          <w:szCs w:val="24"/>
        </w:rPr>
        <w:t>Evaluation will be conducted mid-way through their appointments and during the final semester of their appointment for promotion/reappointment.</w:t>
      </w:r>
    </w:p>
    <w:p w14:paraId="5812D4CB" w14:textId="50711971" w:rsidR="00E614B6" w:rsidRPr="001E40CC" w:rsidRDefault="001E40CC" w:rsidP="001E40CC">
      <w:pPr>
        <w:spacing w:after="60" w:line="240" w:lineRule="auto"/>
        <w:ind w:left="720" w:hanging="360"/>
        <w:rPr>
          <w:sz w:val="24"/>
          <w:szCs w:val="24"/>
        </w:rPr>
      </w:pPr>
      <w:r w:rsidRPr="001E40CC">
        <w:rPr>
          <w:sz w:val="24"/>
          <w:szCs w:val="24"/>
        </w:rPr>
        <w:t xml:space="preserve">(c) </w:t>
      </w:r>
      <w:r w:rsidRPr="00515958">
        <w:rPr>
          <w:i/>
          <w:iCs/>
          <w:sz w:val="24"/>
          <w:szCs w:val="24"/>
        </w:rPr>
        <w:t>Due dates</w:t>
      </w:r>
    </w:p>
    <w:p w14:paraId="6AF51CD0" w14:textId="2FD6404C" w:rsidR="00B722BE" w:rsidRPr="000D18D9" w:rsidRDefault="00B722BE" w:rsidP="002201A2">
      <w:pPr>
        <w:pStyle w:val="Default"/>
        <w:tabs>
          <w:tab w:val="right" w:leader="dot" w:pos="9000"/>
        </w:tabs>
        <w:ind w:firstLine="720"/>
      </w:pPr>
      <w:r w:rsidRPr="000D18D9">
        <w:rPr>
          <w:b/>
          <w:bCs/>
        </w:rPr>
        <w:t>Spring evaluation</w:t>
      </w:r>
      <w:r w:rsidR="00346C4E" w:rsidRPr="000D18D9">
        <w:rPr>
          <w:b/>
          <w:bCs/>
        </w:rPr>
        <w:t>s</w:t>
      </w:r>
      <w:r w:rsidRPr="000D18D9">
        <w:t xml:space="preserve"> (for following fall semester and academic year appointments) </w:t>
      </w:r>
    </w:p>
    <w:p w14:paraId="585F5823" w14:textId="20C77C42" w:rsidR="00B722BE" w:rsidRPr="000D18D9" w:rsidRDefault="00B722BE" w:rsidP="002201A2">
      <w:pPr>
        <w:pStyle w:val="Default"/>
        <w:tabs>
          <w:tab w:val="right" w:leader="dot" w:pos="9000"/>
        </w:tabs>
        <w:ind w:firstLine="720"/>
      </w:pPr>
      <w:r w:rsidRPr="000D18D9">
        <w:t>Lecturers submit materials for evaluation to chairperson</w:t>
      </w:r>
      <w:r w:rsidR="00663F4D">
        <w:tab/>
      </w:r>
      <w:r w:rsidRPr="000D18D9">
        <w:t xml:space="preserve">February 15 </w:t>
      </w:r>
    </w:p>
    <w:p w14:paraId="5CC52B3A" w14:textId="0BD4EA32" w:rsidR="00B722BE" w:rsidRPr="000D18D9" w:rsidRDefault="00B722BE" w:rsidP="002201A2">
      <w:pPr>
        <w:pStyle w:val="Default"/>
        <w:tabs>
          <w:tab w:val="right" w:leader="dot" w:pos="9000"/>
        </w:tabs>
        <w:ind w:left="720" w:firstLine="720"/>
        <w:rPr>
          <w:b/>
          <w:bCs/>
          <w:i/>
          <w:iCs/>
        </w:rPr>
      </w:pPr>
      <w:r w:rsidRPr="000D18D9">
        <w:rPr>
          <w:b/>
          <w:bCs/>
          <w:i/>
          <w:iCs/>
        </w:rPr>
        <w:t xml:space="preserve">No materials may be added to the packet after this </w:t>
      </w:r>
      <w:proofErr w:type="gramStart"/>
      <w:r w:rsidRPr="000D18D9">
        <w:rPr>
          <w:b/>
          <w:bCs/>
          <w:i/>
          <w:iCs/>
        </w:rPr>
        <w:t>date</w:t>
      </w:r>
      <w:proofErr w:type="gramEnd"/>
    </w:p>
    <w:p w14:paraId="13183B39" w14:textId="5719C615" w:rsidR="00B722BE" w:rsidRPr="000D18D9" w:rsidRDefault="00B722BE" w:rsidP="002201A2">
      <w:pPr>
        <w:pStyle w:val="Default"/>
        <w:tabs>
          <w:tab w:val="right" w:leader="dot" w:pos="9000"/>
        </w:tabs>
        <w:ind w:firstLine="720"/>
      </w:pPr>
      <w:r w:rsidRPr="000D18D9">
        <w:t xml:space="preserve">Departmental evaluations conducted and concluded </w:t>
      </w:r>
      <w:r w:rsidR="00C13688" w:rsidRPr="000D18D9">
        <w:tab/>
      </w:r>
      <w:r w:rsidRPr="000D18D9">
        <w:t xml:space="preserve">March 15 </w:t>
      </w:r>
    </w:p>
    <w:p w14:paraId="23A4A372" w14:textId="7304B0E6" w:rsidR="00B722BE" w:rsidRPr="000D18D9" w:rsidRDefault="00B722BE" w:rsidP="002201A2">
      <w:pPr>
        <w:pStyle w:val="Default"/>
        <w:tabs>
          <w:tab w:val="right" w:leader="dot" w:pos="9000"/>
        </w:tabs>
        <w:ind w:firstLine="720"/>
      </w:pPr>
      <w:r w:rsidRPr="000D18D9">
        <w:t>Summary of evaluations due to Dea</w:t>
      </w:r>
      <w:r w:rsidR="00536384" w:rsidRPr="000D18D9">
        <w:t>n</w:t>
      </w:r>
      <w:r w:rsidR="00536384" w:rsidRPr="000D18D9">
        <w:tab/>
      </w:r>
      <w:r w:rsidRPr="000D18D9">
        <w:t xml:space="preserve">March 25 </w:t>
      </w:r>
    </w:p>
    <w:p w14:paraId="7E1F068E" w14:textId="5699867B" w:rsidR="00B722BE" w:rsidRPr="000D18D9" w:rsidRDefault="00B722BE" w:rsidP="002201A2">
      <w:pPr>
        <w:pStyle w:val="Default"/>
        <w:tabs>
          <w:tab w:val="right" w:leader="dot" w:pos="9000"/>
        </w:tabs>
        <w:ind w:left="720"/>
      </w:pPr>
      <w:r w:rsidRPr="000D18D9">
        <w:t>Department chair notification to Lecturers</w:t>
      </w:r>
      <w:r w:rsidR="006E4C67" w:rsidRPr="000D18D9">
        <w:tab/>
      </w:r>
      <w:r w:rsidRPr="000D18D9">
        <w:t xml:space="preserve">April 15 </w:t>
      </w:r>
    </w:p>
    <w:p w14:paraId="074B73FE" w14:textId="77777777" w:rsidR="00B722BE" w:rsidRPr="000D18D9" w:rsidRDefault="00B722BE" w:rsidP="002201A2">
      <w:pPr>
        <w:pStyle w:val="Default"/>
        <w:tabs>
          <w:tab w:val="right" w:leader="dot" w:pos="9000"/>
        </w:tabs>
        <w:ind w:left="720" w:firstLine="720"/>
        <w:rPr>
          <w:b/>
          <w:bCs/>
          <w:i/>
          <w:iCs/>
        </w:rPr>
      </w:pPr>
      <w:r w:rsidRPr="000D18D9">
        <w:rPr>
          <w:b/>
          <w:bCs/>
          <w:i/>
          <w:iCs/>
        </w:rPr>
        <w:t xml:space="preserve">All notifications must be made by this </w:t>
      </w:r>
      <w:proofErr w:type="gramStart"/>
      <w:r w:rsidRPr="000D18D9">
        <w:rPr>
          <w:b/>
          <w:bCs/>
          <w:i/>
          <w:iCs/>
        </w:rPr>
        <w:t>date</w:t>
      </w:r>
      <w:proofErr w:type="gramEnd"/>
      <w:r w:rsidRPr="000D18D9">
        <w:rPr>
          <w:b/>
          <w:bCs/>
          <w:i/>
          <w:iCs/>
        </w:rPr>
        <w:t xml:space="preserve"> </w:t>
      </w:r>
    </w:p>
    <w:p w14:paraId="7F814556" w14:textId="77777777" w:rsidR="006E4C67" w:rsidRPr="000D18D9" w:rsidRDefault="006E4C67" w:rsidP="002201A2">
      <w:pPr>
        <w:pStyle w:val="Default"/>
        <w:tabs>
          <w:tab w:val="right" w:leader="dot" w:pos="9000"/>
        </w:tabs>
        <w:rPr>
          <w:b/>
          <w:bCs/>
        </w:rPr>
      </w:pPr>
    </w:p>
    <w:p w14:paraId="74AD9B3B" w14:textId="496D7F8C" w:rsidR="00B722BE" w:rsidRPr="000D18D9" w:rsidRDefault="00B722BE" w:rsidP="002201A2">
      <w:pPr>
        <w:pStyle w:val="Default"/>
        <w:tabs>
          <w:tab w:val="right" w:leader="dot" w:pos="9000"/>
        </w:tabs>
        <w:ind w:firstLine="720"/>
      </w:pPr>
      <w:r w:rsidRPr="000D18D9">
        <w:rPr>
          <w:b/>
          <w:bCs/>
        </w:rPr>
        <w:t>Fall evaluation</w:t>
      </w:r>
      <w:r w:rsidR="00346C4E" w:rsidRPr="000D18D9">
        <w:rPr>
          <w:b/>
          <w:bCs/>
        </w:rPr>
        <w:t>s</w:t>
      </w:r>
      <w:r w:rsidRPr="000D18D9">
        <w:rPr>
          <w:b/>
          <w:bCs/>
        </w:rPr>
        <w:t xml:space="preserve"> </w:t>
      </w:r>
      <w:r w:rsidRPr="000D18D9">
        <w:t xml:space="preserve">(for spring semester appointments): </w:t>
      </w:r>
    </w:p>
    <w:p w14:paraId="43291CF8" w14:textId="6ED6741C" w:rsidR="00B722BE" w:rsidRPr="000D18D9" w:rsidRDefault="00B722BE" w:rsidP="002201A2">
      <w:pPr>
        <w:pStyle w:val="Default"/>
        <w:tabs>
          <w:tab w:val="right" w:leader="dot" w:pos="9000"/>
        </w:tabs>
        <w:ind w:firstLine="720"/>
      </w:pPr>
      <w:r w:rsidRPr="000D18D9">
        <w:t xml:space="preserve">Lecturers submit materials for evaluation to chairperson </w:t>
      </w:r>
      <w:r w:rsidR="007536CA" w:rsidRPr="000D18D9">
        <w:tab/>
      </w:r>
      <w:r w:rsidRPr="000D18D9">
        <w:t xml:space="preserve">September 26 </w:t>
      </w:r>
    </w:p>
    <w:p w14:paraId="1B493DB9" w14:textId="77777777" w:rsidR="00B722BE" w:rsidRPr="000D18D9" w:rsidRDefault="00B722BE" w:rsidP="002201A2">
      <w:pPr>
        <w:pStyle w:val="Default"/>
        <w:tabs>
          <w:tab w:val="right" w:leader="dot" w:pos="9000"/>
        </w:tabs>
        <w:ind w:left="720" w:firstLine="720"/>
        <w:rPr>
          <w:b/>
          <w:bCs/>
          <w:i/>
          <w:iCs/>
        </w:rPr>
      </w:pPr>
      <w:r w:rsidRPr="000D18D9">
        <w:rPr>
          <w:b/>
          <w:bCs/>
          <w:i/>
          <w:iCs/>
        </w:rPr>
        <w:t xml:space="preserve">No materials may be added to the packet after this </w:t>
      </w:r>
      <w:proofErr w:type="gramStart"/>
      <w:r w:rsidRPr="000D18D9">
        <w:rPr>
          <w:b/>
          <w:bCs/>
          <w:i/>
          <w:iCs/>
        </w:rPr>
        <w:t>date</w:t>
      </w:r>
      <w:proofErr w:type="gramEnd"/>
      <w:r w:rsidRPr="000D18D9">
        <w:rPr>
          <w:b/>
          <w:bCs/>
          <w:i/>
          <w:iCs/>
        </w:rPr>
        <w:t xml:space="preserve"> </w:t>
      </w:r>
    </w:p>
    <w:p w14:paraId="47A37934" w14:textId="24277668" w:rsidR="007C60F0" w:rsidRPr="000D18D9" w:rsidRDefault="007C60F0" w:rsidP="002201A2">
      <w:pPr>
        <w:pStyle w:val="Default"/>
        <w:tabs>
          <w:tab w:val="right" w:leader="dot" w:pos="9000"/>
        </w:tabs>
        <w:ind w:firstLine="720"/>
      </w:pPr>
      <w:r w:rsidRPr="000D18D9">
        <w:t>Departmental evaluations conducted and concluded</w:t>
      </w:r>
      <w:r w:rsidR="00BF1183" w:rsidRPr="000D18D9">
        <w:tab/>
      </w:r>
      <w:r w:rsidRPr="000D18D9">
        <w:t xml:space="preserve">October 14 </w:t>
      </w:r>
    </w:p>
    <w:p w14:paraId="656DAC29" w14:textId="352695AC" w:rsidR="007C60F0" w:rsidRPr="000D18D9" w:rsidRDefault="007C60F0" w:rsidP="002201A2">
      <w:pPr>
        <w:pStyle w:val="Default"/>
        <w:tabs>
          <w:tab w:val="right" w:leader="dot" w:pos="9000"/>
        </w:tabs>
        <w:ind w:firstLine="720"/>
      </w:pPr>
      <w:r w:rsidRPr="000D18D9">
        <w:t>Summary of evaluations due to Dean</w:t>
      </w:r>
      <w:r w:rsidR="000C4FD2" w:rsidRPr="000D18D9">
        <w:tab/>
      </w:r>
      <w:r w:rsidRPr="000D18D9">
        <w:t xml:space="preserve">October 21 </w:t>
      </w:r>
    </w:p>
    <w:p w14:paraId="3B728CCB" w14:textId="4C6594C9" w:rsidR="007C60F0" w:rsidRPr="000D18D9" w:rsidRDefault="007C60F0" w:rsidP="002201A2">
      <w:pPr>
        <w:pStyle w:val="Default"/>
        <w:tabs>
          <w:tab w:val="right" w:leader="dot" w:pos="9000"/>
        </w:tabs>
        <w:ind w:firstLine="720"/>
      </w:pPr>
      <w:r w:rsidRPr="000D18D9">
        <w:t>Department chairperson notification to Lecturers</w:t>
      </w:r>
      <w:r w:rsidR="000C4FD2" w:rsidRPr="000D18D9">
        <w:tab/>
      </w:r>
      <w:r w:rsidRPr="000D18D9">
        <w:t xml:space="preserve">November 1 </w:t>
      </w:r>
    </w:p>
    <w:p w14:paraId="62FFE3A5" w14:textId="4582BE56" w:rsidR="00214FDC" w:rsidRPr="000D18D9" w:rsidRDefault="007C60F0" w:rsidP="002201A2">
      <w:pPr>
        <w:pStyle w:val="Default"/>
        <w:tabs>
          <w:tab w:val="right" w:leader="dot" w:pos="9000"/>
        </w:tabs>
        <w:ind w:left="720" w:firstLine="720"/>
        <w:rPr>
          <w:b/>
          <w:bCs/>
          <w:i/>
          <w:iCs/>
        </w:rPr>
      </w:pPr>
      <w:r w:rsidRPr="000D18D9">
        <w:rPr>
          <w:b/>
          <w:bCs/>
          <w:i/>
          <w:iCs/>
        </w:rPr>
        <w:t xml:space="preserve">All notifications must be made by this </w:t>
      </w:r>
      <w:proofErr w:type="gramStart"/>
      <w:r w:rsidRPr="000D18D9">
        <w:rPr>
          <w:b/>
          <w:bCs/>
          <w:i/>
          <w:iCs/>
        </w:rPr>
        <w:t>date</w:t>
      </w:r>
      <w:proofErr w:type="gramEnd"/>
    </w:p>
    <w:p w14:paraId="498AF09F" w14:textId="66498EBB" w:rsidR="00A0598D" w:rsidRDefault="00A0598D" w:rsidP="00A0598D">
      <w:pPr>
        <w:pStyle w:val="NoSpacing"/>
        <w:spacing w:before="240" w:after="120"/>
        <w:rPr>
          <w:b/>
          <w:bCs/>
          <w:sz w:val="24"/>
          <w:szCs w:val="24"/>
        </w:rPr>
      </w:pPr>
      <w:r w:rsidRPr="00D82366">
        <w:rPr>
          <w:b/>
          <w:bCs/>
          <w:sz w:val="24"/>
          <w:szCs w:val="24"/>
        </w:rPr>
        <w:lastRenderedPageBreak/>
        <w:t xml:space="preserve">Evaluation </w:t>
      </w:r>
      <w:r>
        <w:rPr>
          <w:b/>
          <w:bCs/>
          <w:sz w:val="24"/>
          <w:szCs w:val="24"/>
        </w:rPr>
        <w:t>Materials</w:t>
      </w:r>
    </w:p>
    <w:p w14:paraId="306EF995" w14:textId="46324217" w:rsidR="003A2A64" w:rsidRPr="003A2A64" w:rsidRDefault="003A2A64" w:rsidP="000D18D9">
      <w:pPr>
        <w:widowControl w:val="0"/>
        <w:autoSpaceDE w:val="0"/>
        <w:autoSpaceDN w:val="0"/>
        <w:adjustRightInd w:val="0"/>
        <w:spacing w:afterLines="20" w:after="48" w:line="240" w:lineRule="auto"/>
        <w:rPr>
          <w:rFonts w:eastAsia="Calibri" w:cstheme="minorHAnsi"/>
          <w:sz w:val="24"/>
          <w:szCs w:val="24"/>
        </w:rPr>
      </w:pPr>
      <w:r w:rsidRPr="003A2A64">
        <w:rPr>
          <w:rFonts w:eastAsia="Calibri" w:cstheme="minorHAnsi"/>
          <w:sz w:val="24"/>
          <w:szCs w:val="24"/>
        </w:rPr>
        <w:t>For evaluation, Lecturers submit to the department a packet that provides evidence of effective teaching. The packet will include</w:t>
      </w:r>
      <w:r w:rsidR="00E238B3" w:rsidRPr="00262090">
        <w:rPr>
          <w:rFonts w:eastAsia="Calibri" w:cstheme="minorHAnsi"/>
          <w:sz w:val="24"/>
          <w:szCs w:val="24"/>
        </w:rPr>
        <w:t xml:space="preserve"> the following</w:t>
      </w:r>
      <w:r w:rsidRPr="003A2A64">
        <w:rPr>
          <w:rFonts w:eastAsia="Calibri" w:cstheme="minorHAnsi"/>
          <w:sz w:val="24"/>
          <w:szCs w:val="24"/>
        </w:rPr>
        <w:t xml:space="preserve">: </w:t>
      </w:r>
    </w:p>
    <w:p w14:paraId="541F42B8" w14:textId="60DC3E55" w:rsidR="00134699" w:rsidRPr="00262090" w:rsidRDefault="003A4B1A" w:rsidP="000D18D9">
      <w:pPr>
        <w:widowControl w:val="0"/>
        <w:numPr>
          <w:ilvl w:val="0"/>
          <w:numId w:val="5"/>
        </w:numPr>
        <w:tabs>
          <w:tab w:val="left" w:pos="220"/>
          <w:tab w:val="left" w:pos="720"/>
        </w:tabs>
        <w:autoSpaceDE w:val="0"/>
        <w:autoSpaceDN w:val="0"/>
        <w:adjustRightInd w:val="0"/>
        <w:spacing w:afterLines="20" w:after="48" w:line="240" w:lineRule="auto"/>
        <w:ind w:left="1080" w:hanging="418"/>
        <w:rPr>
          <w:rFonts w:eastAsia="Calibri" w:cstheme="minorHAnsi"/>
          <w:sz w:val="24"/>
          <w:szCs w:val="24"/>
        </w:rPr>
      </w:pPr>
      <w:r w:rsidRPr="00262090">
        <w:rPr>
          <w:rFonts w:eastAsia="Calibri" w:cstheme="minorHAnsi"/>
          <w:sz w:val="24"/>
          <w:szCs w:val="24"/>
        </w:rPr>
        <w:t>U</w:t>
      </w:r>
      <w:r w:rsidR="003A2A64" w:rsidRPr="003A2A64">
        <w:rPr>
          <w:rFonts w:eastAsia="Calibri" w:cstheme="minorHAnsi"/>
          <w:sz w:val="24"/>
          <w:szCs w:val="24"/>
        </w:rPr>
        <w:t xml:space="preserve">pdated </w:t>
      </w:r>
      <w:r w:rsidR="003A2A64" w:rsidRPr="003A2A64">
        <w:rPr>
          <w:rFonts w:eastAsia="Calibri" w:cstheme="minorHAnsi"/>
          <w:i/>
          <w:iCs/>
          <w:sz w:val="24"/>
          <w:szCs w:val="24"/>
        </w:rPr>
        <w:t>Curriculum Vitae</w:t>
      </w:r>
      <w:r w:rsidR="003A2A64" w:rsidRPr="003A2A64">
        <w:rPr>
          <w:rFonts w:eastAsia="Calibri" w:cstheme="minorHAnsi"/>
          <w:iCs/>
          <w:sz w:val="24"/>
          <w:szCs w:val="24"/>
        </w:rPr>
        <w:t xml:space="preserve"> or professional résumé</w:t>
      </w:r>
    </w:p>
    <w:p w14:paraId="6AE2FE2B" w14:textId="2C58A341" w:rsidR="003A2A64" w:rsidRPr="003A2A64" w:rsidRDefault="003A4B1A" w:rsidP="000D18D9">
      <w:pPr>
        <w:widowControl w:val="0"/>
        <w:numPr>
          <w:ilvl w:val="0"/>
          <w:numId w:val="5"/>
        </w:numPr>
        <w:tabs>
          <w:tab w:val="left" w:pos="220"/>
          <w:tab w:val="left" w:pos="720"/>
        </w:tabs>
        <w:autoSpaceDE w:val="0"/>
        <w:autoSpaceDN w:val="0"/>
        <w:adjustRightInd w:val="0"/>
        <w:spacing w:afterLines="20" w:after="48" w:line="240" w:lineRule="auto"/>
        <w:ind w:left="1080" w:hanging="418"/>
        <w:rPr>
          <w:rFonts w:eastAsia="Calibri" w:cstheme="minorHAnsi"/>
          <w:sz w:val="24"/>
          <w:szCs w:val="24"/>
        </w:rPr>
      </w:pPr>
      <w:r w:rsidRPr="00262090">
        <w:rPr>
          <w:rFonts w:eastAsia="Calibri" w:cstheme="minorHAnsi"/>
          <w:sz w:val="24"/>
          <w:szCs w:val="24"/>
        </w:rPr>
        <w:t>S</w:t>
      </w:r>
      <w:r w:rsidR="003A2A64" w:rsidRPr="003A2A64">
        <w:rPr>
          <w:rFonts w:eastAsia="Calibri" w:cstheme="minorHAnsi"/>
          <w:sz w:val="24"/>
          <w:szCs w:val="24"/>
        </w:rPr>
        <w:t xml:space="preserve">tudent evaluations, including SOS summaries, for all classes taught during the period of </w:t>
      </w:r>
      <w:proofErr w:type="gramStart"/>
      <w:r w:rsidR="003A2A64" w:rsidRPr="003A2A64">
        <w:rPr>
          <w:rFonts w:eastAsia="Calibri" w:cstheme="minorHAnsi"/>
          <w:sz w:val="24"/>
          <w:szCs w:val="24"/>
        </w:rPr>
        <w:t>review</w:t>
      </w:r>
      <w:proofErr w:type="gramEnd"/>
      <w:r w:rsidR="003A2A64" w:rsidRPr="003A2A64">
        <w:rPr>
          <w:rFonts w:eastAsia="Calibri" w:cstheme="minorHAnsi"/>
          <w:sz w:val="24"/>
          <w:szCs w:val="24"/>
        </w:rPr>
        <w:t xml:space="preserve"> </w:t>
      </w:r>
    </w:p>
    <w:p w14:paraId="213DB6B4" w14:textId="282B322A" w:rsidR="003A2A64" w:rsidRPr="003A2A64" w:rsidRDefault="003A4B1A" w:rsidP="000D18D9">
      <w:pPr>
        <w:widowControl w:val="0"/>
        <w:numPr>
          <w:ilvl w:val="0"/>
          <w:numId w:val="5"/>
        </w:numPr>
        <w:tabs>
          <w:tab w:val="left" w:pos="220"/>
          <w:tab w:val="left" w:pos="720"/>
        </w:tabs>
        <w:autoSpaceDE w:val="0"/>
        <w:autoSpaceDN w:val="0"/>
        <w:adjustRightInd w:val="0"/>
        <w:spacing w:afterLines="20" w:after="48" w:line="240" w:lineRule="auto"/>
        <w:ind w:left="1080" w:hanging="418"/>
        <w:rPr>
          <w:rFonts w:eastAsia="Calibri" w:cstheme="minorHAnsi"/>
          <w:sz w:val="24"/>
          <w:szCs w:val="24"/>
        </w:rPr>
      </w:pPr>
      <w:r w:rsidRPr="00262090">
        <w:rPr>
          <w:rFonts w:eastAsia="Calibri" w:cstheme="minorHAnsi"/>
          <w:sz w:val="24"/>
          <w:szCs w:val="24"/>
        </w:rPr>
        <w:t>A</w:t>
      </w:r>
      <w:r w:rsidR="003A2A64" w:rsidRPr="003A2A64">
        <w:rPr>
          <w:rFonts w:eastAsia="Calibri" w:cstheme="minorHAnsi"/>
          <w:sz w:val="24"/>
          <w:szCs w:val="24"/>
        </w:rPr>
        <w:t xml:space="preserve">ll written comments from each class taught during the period of </w:t>
      </w:r>
      <w:proofErr w:type="gramStart"/>
      <w:r w:rsidR="003A2A64" w:rsidRPr="003A2A64">
        <w:rPr>
          <w:rFonts w:eastAsia="Calibri" w:cstheme="minorHAnsi"/>
          <w:sz w:val="24"/>
          <w:szCs w:val="24"/>
        </w:rPr>
        <w:t>review</w:t>
      </w:r>
      <w:proofErr w:type="gramEnd"/>
    </w:p>
    <w:p w14:paraId="5796CD43" w14:textId="017D249B" w:rsidR="003A2A64" w:rsidRPr="003A2A64" w:rsidRDefault="003A4B1A" w:rsidP="000D18D9">
      <w:pPr>
        <w:widowControl w:val="0"/>
        <w:numPr>
          <w:ilvl w:val="0"/>
          <w:numId w:val="5"/>
        </w:numPr>
        <w:tabs>
          <w:tab w:val="left" w:pos="220"/>
          <w:tab w:val="left" w:pos="720"/>
        </w:tabs>
        <w:autoSpaceDE w:val="0"/>
        <w:autoSpaceDN w:val="0"/>
        <w:adjustRightInd w:val="0"/>
        <w:spacing w:afterLines="20" w:after="48" w:line="240" w:lineRule="auto"/>
        <w:ind w:left="1080" w:hanging="418"/>
        <w:rPr>
          <w:rFonts w:eastAsia="Calibri" w:cstheme="minorHAnsi"/>
          <w:sz w:val="24"/>
          <w:szCs w:val="24"/>
        </w:rPr>
      </w:pPr>
      <w:r w:rsidRPr="00262090">
        <w:rPr>
          <w:rFonts w:eastAsia="Calibri" w:cstheme="minorHAnsi"/>
          <w:sz w:val="24"/>
          <w:szCs w:val="24"/>
        </w:rPr>
        <w:t>G</w:t>
      </w:r>
      <w:r w:rsidR="003A2A64" w:rsidRPr="003A2A64">
        <w:rPr>
          <w:rFonts w:eastAsia="Calibri" w:cstheme="minorHAnsi"/>
          <w:sz w:val="24"/>
          <w:szCs w:val="24"/>
        </w:rPr>
        <w:t xml:space="preserve">rade distribution data from each class taught during the period of </w:t>
      </w:r>
      <w:proofErr w:type="gramStart"/>
      <w:r w:rsidR="003A2A64" w:rsidRPr="003A2A64">
        <w:rPr>
          <w:rFonts w:eastAsia="Calibri" w:cstheme="minorHAnsi"/>
          <w:sz w:val="24"/>
          <w:szCs w:val="24"/>
        </w:rPr>
        <w:t>review</w:t>
      </w:r>
      <w:proofErr w:type="gramEnd"/>
    </w:p>
    <w:p w14:paraId="4F4D742E" w14:textId="38CDBB96" w:rsidR="003A2A64" w:rsidRDefault="003A4B1A" w:rsidP="000D18D9">
      <w:pPr>
        <w:widowControl w:val="0"/>
        <w:numPr>
          <w:ilvl w:val="0"/>
          <w:numId w:val="5"/>
        </w:numPr>
        <w:tabs>
          <w:tab w:val="left" w:pos="220"/>
          <w:tab w:val="left" w:pos="720"/>
        </w:tabs>
        <w:autoSpaceDE w:val="0"/>
        <w:autoSpaceDN w:val="0"/>
        <w:adjustRightInd w:val="0"/>
        <w:spacing w:afterLines="20" w:after="48" w:line="240" w:lineRule="auto"/>
        <w:ind w:left="1080" w:hanging="418"/>
        <w:rPr>
          <w:rFonts w:eastAsia="Calibri" w:cstheme="minorHAnsi"/>
          <w:sz w:val="24"/>
          <w:szCs w:val="24"/>
        </w:rPr>
      </w:pPr>
      <w:r w:rsidRPr="00262090">
        <w:rPr>
          <w:rFonts w:eastAsia="Calibri" w:cstheme="minorHAnsi"/>
          <w:sz w:val="24"/>
          <w:szCs w:val="24"/>
        </w:rPr>
        <w:t>O</w:t>
      </w:r>
      <w:r w:rsidR="003A2A64" w:rsidRPr="003A2A64">
        <w:rPr>
          <w:rFonts w:eastAsia="Calibri" w:cstheme="minorHAnsi"/>
          <w:sz w:val="24"/>
          <w:szCs w:val="24"/>
        </w:rPr>
        <w:t>ther evidence of teaching performance (</w:t>
      </w:r>
      <w:r w:rsidR="003A2A64" w:rsidRPr="003A2A64">
        <w:rPr>
          <w:rFonts w:eastAsia="Calibri" w:cstheme="minorHAnsi"/>
          <w:i/>
          <w:iCs/>
          <w:sz w:val="24"/>
          <w:szCs w:val="24"/>
        </w:rPr>
        <w:t>e.g.</w:t>
      </w:r>
      <w:r w:rsidR="003A2A64" w:rsidRPr="003A2A64">
        <w:rPr>
          <w:rFonts w:eastAsia="Calibri" w:cstheme="minorHAnsi"/>
          <w:sz w:val="24"/>
          <w:szCs w:val="24"/>
        </w:rPr>
        <w:t xml:space="preserve">, the teaching syllabus or course material requested by the department) for each class taught during the period of </w:t>
      </w:r>
      <w:proofErr w:type="gramStart"/>
      <w:r w:rsidR="003A2A64" w:rsidRPr="003A2A64">
        <w:rPr>
          <w:rFonts w:eastAsia="Calibri" w:cstheme="minorHAnsi"/>
          <w:sz w:val="24"/>
          <w:szCs w:val="24"/>
        </w:rPr>
        <w:t>review</w:t>
      </w:r>
      <w:proofErr w:type="gramEnd"/>
    </w:p>
    <w:p w14:paraId="1E33BFCA" w14:textId="388B7B3D" w:rsidR="00F2204F" w:rsidRPr="003A2A64" w:rsidRDefault="00817520" w:rsidP="000D18D9">
      <w:pPr>
        <w:widowControl w:val="0"/>
        <w:numPr>
          <w:ilvl w:val="0"/>
          <w:numId w:val="5"/>
        </w:numPr>
        <w:tabs>
          <w:tab w:val="left" w:pos="220"/>
          <w:tab w:val="left" w:pos="720"/>
        </w:tabs>
        <w:autoSpaceDE w:val="0"/>
        <w:autoSpaceDN w:val="0"/>
        <w:adjustRightInd w:val="0"/>
        <w:spacing w:afterLines="20" w:after="48" w:line="240" w:lineRule="auto"/>
        <w:ind w:left="1080" w:hanging="418"/>
        <w:rPr>
          <w:rFonts w:eastAsia="Calibri" w:cstheme="minorHAnsi"/>
          <w:sz w:val="24"/>
          <w:szCs w:val="24"/>
        </w:rPr>
      </w:pPr>
      <w:r>
        <w:rPr>
          <w:rFonts w:eastAsia="Calibri" w:cstheme="minorHAnsi"/>
          <w:sz w:val="24"/>
          <w:szCs w:val="24"/>
        </w:rPr>
        <w:t xml:space="preserve">AACSB Faculty Qualification </w:t>
      </w:r>
      <w:r w:rsidR="00405963">
        <w:rPr>
          <w:rFonts w:eastAsia="Calibri" w:cstheme="minorHAnsi"/>
          <w:sz w:val="24"/>
          <w:szCs w:val="24"/>
        </w:rPr>
        <w:t xml:space="preserve">(SA, PA, SP, IP) </w:t>
      </w:r>
      <w:r>
        <w:rPr>
          <w:rFonts w:eastAsia="Calibri" w:cstheme="minorHAnsi"/>
          <w:sz w:val="24"/>
          <w:szCs w:val="24"/>
        </w:rPr>
        <w:t>and Faculty Sufficiency</w:t>
      </w:r>
      <w:r w:rsidR="00405963">
        <w:rPr>
          <w:rFonts w:eastAsia="Calibri" w:cstheme="minorHAnsi"/>
          <w:sz w:val="24"/>
          <w:szCs w:val="24"/>
        </w:rPr>
        <w:t xml:space="preserve"> (Participating or Supporting)</w:t>
      </w:r>
      <w:r>
        <w:rPr>
          <w:rFonts w:eastAsia="Calibri" w:cstheme="minorHAnsi"/>
          <w:sz w:val="24"/>
          <w:szCs w:val="24"/>
        </w:rPr>
        <w:t xml:space="preserve"> </w:t>
      </w:r>
      <w:proofErr w:type="gramStart"/>
      <w:r>
        <w:rPr>
          <w:rFonts w:eastAsia="Calibri" w:cstheme="minorHAnsi"/>
          <w:sz w:val="24"/>
          <w:szCs w:val="24"/>
        </w:rPr>
        <w:t>designations</w:t>
      </w:r>
      <w:proofErr w:type="gramEnd"/>
    </w:p>
    <w:p w14:paraId="696EF7AD" w14:textId="358989AF" w:rsidR="003A2A64" w:rsidRPr="003A2A64" w:rsidRDefault="00C80E03" w:rsidP="00C80E03">
      <w:pPr>
        <w:widowControl w:val="0"/>
        <w:numPr>
          <w:ilvl w:val="0"/>
          <w:numId w:val="5"/>
        </w:numPr>
        <w:tabs>
          <w:tab w:val="left" w:pos="220"/>
          <w:tab w:val="left" w:pos="720"/>
        </w:tabs>
        <w:autoSpaceDE w:val="0"/>
        <w:autoSpaceDN w:val="0"/>
        <w:adjustRightInd w:val="0"/>
        <w:spacing w:after="60" w:line="240" w:lineRule="auto"/>
        <w:ind w:left="1080" w:hanging="418"/>
        <w:rPr>
          <w:rFonts w:eastAsia="Calibri" w:cstheme="minorHAnsi"/>
          <w:sz w:val="24"/>
          <w:szCs w:val="24"/>
        </w:rPr>
      </w:pPr>
      <w:r w:rsidRPr="00262090">
        <w:rPr>
          <w:rFonts w:eastAsia="Calibri" w:cstheme="minorHAnsi"/>
          <w:sz w:val="24"/>
          <w:szCs w:val="24"/>
        </w:rPr>
        <w:t>C</w:t>
      </w:r>
      <w:r w:rsidR="003A2A64" w:rsidRPr="003A2A64">
        <w:rPr>
          <w:rFonts w:eastAsia="Calibri" w:cstheme="minorHAnsi"/>
          <w:sz w:val="24"/>
          <w:szCs w:val="24"/>
        </w:rPr>
        <w:t>lassroom observations by the Chair (or designee) with reasonable advance notification (optional; at Chair’s discretion)</w:t>
      </w:r>
    </w:p>
    <w:p w14:paraId="6120A86C" w14:textId="77777777" w:rsidR="003A2A64" w:rsidRPr="003A2A64" w:rsidRDefault="003A2A64" w:rsidP="00EA6F57">
      <w:pPr>
        <w:widowControl w:val="0"/>
        <w:tabs>
          <w:tab w:val="left" w:pos="220"/>
          <w:tab w:val="left" w:pos="720"/>
        </w:tabs>
        <w:autoSpaceDE w:val="0"/>
        <w:autoSpaceDN w:val="0"/>
        <w:adjustRightInd w:val="0"/>
        <w:spacing w:after="0" w:line="240" w:lineRule="auto"/>
        <w:ind w:left="1080" w:hanging="414"/>
        <w:rPr>
          <w:rFonts w:eastAsia="Calibri" w:cstheme="minorHAnsi"/>
          <w:sz w:val="24"/>
          <w:szCs w:val="24"/>
        </w:rPr>
      </w:pPr>
    </w:p>
    <w:p w14:paraId="3CEA2BC0" w14:textId="14AFB79E" w:rsidR="003A2A64" w:rsidRPr="003A2A64" w:rsidRDefault="003A2A64" w:rsidP="003A2A64">
      <w:pPr>
        <w:widowControl w:val="0"/>
        <w:autoSpaceDE w:val="0"/>
        <w:autoSpaceDN w:val="0"/>
        <w:adjustRightInd w:val="0"/>
        <w:spacing w:after="120" w:line="240" w:lineRule="auto"/>
        <w:rPr>
          <w:rFonts w:eastAsia="Calibri" w:cstheme="minorHAnsi"/>
          <w:color w:val="FF0000"/>
          <w:sz w:val="24"/>
          <w:szCs w:val="24"/>
        </w:rPr>
      </w:pPr>
      <w:r w:rsidRPr="003A2A64">
        <w:rPr>
          <w:rFonts w:eastAsia="Calibri" w:cstheme="minorHAnsi"/>
          <w:color w:val="000000"/>
          <w:sz w:val="24"/>
          <w:szCs w:val="24"/>
        </w:rPr>
        <w:t xml:space="preserve">In addition, </w:t>
      </w:r>
      <w:r w:rsidR="0057266E">
        <w:rPr>
          <w:rFonts w:eastAsia="Calibri" w:cstheme="minorHAnsi"/>
          <w:color w:val="000000"/>
          <w:sz w:val="24"/>
          <w:szCs w:val="24"/>
        </w:rPr>
        <w:t xml:space="preserve">the </w:t>
      </w:r>
      <w:r w:rsidR="0057266E">
        <w:rPr>
          <w:rFonts w:eastAsia="Calibri" w:cstheme="minorHAnsi"/>
          <w:i/>
          <w:iCs/>
          <w:color w:val="000000"/>
          <w:sz w:val="24"/>
          <w:szCs w:val="24"/>
        </w:rPr>
        <w:t xml:space="preserve">Agreement </w:t>
      </w:r>
      <w:r w:rsidR="0057266E">
        <w:rPr>
          <w:rFonts w:eastAsia="Calibri" w:cstheme="minorHAnsi"/>
          <w:color w:val="000000"/>
          <w:sz w:val="24"/>
          <w:szCs w:val="24"/>
        </w:rPr>
        <w:t>states l</w:t>
      </w:r>
      <w:r w:rsidRPr="003A2A64">
        <w:rPr>
          <w:rFonts w:eastAsia="Calibri" w:cstheme="minorHAnsi"/>
          <w:color w:val="000000"/>
          <w:sz w:val="24"/>
          <w:szCs w:val="24"/>
        </w:rPr>
        <w:t xml:space="preserve">ecturers may submit for consideration </w:t>
      </w:r>
      <w:r w:rsidRPr="003A2A64">
        <w:rPr>
          <w:rFonts w:eastAsia="Calibri" w:cstheme="minorHAnsi"/>
          <w:sz w:val="24"/>
          <w:szCs w:val="24"/>
        </w:rPr>
        <w:t>evidence of other professional activities that benefit the reputation of CMU (</w:t>
      </w:r>
      <w:r w:rsidRPr="003A2A64">
        <w:rPr>
          <w:rFonts w:eastAsia="Calibri" w:cstheme="minorHAnsi"/>
          <w:i/>
          <w:iCs/>
          <w:sz w:val="24"/>
          <w:szCs w:val="24"/>
        </w:rPr>
        <w:t>e.g.</w:t>
      </w:r>
      <w:r w:rsidRPr="003A2A64">
        <w:rPr>
          <w:rFonts w:eastAsia="Calibri" w:cstheme="minorHAnsi"/>
          <w:sz w:val="24"/>
          <w:szCs w:val="24"/>
        </w:rPr>
        <w:t xml:space="preserve">, publications, conference presentations) that the Lecturer wishes to be considered. </w:t>
      </w:r>
    </w:p>
    <w:p w14:paraId="6E4F3CDE" w14:textId="0172E514" w:rsidR="003A2A64" w:rsidRDefault="003A2A64" w:rsidP="00DB3E6B">
      <w:pPr>
        <w:widowControl w:val="0"/>
        <w:autoSpaceDE w:val="0"/>
        <w:autoSpaceDN w:val="0"/>
        <w:adjustRightInd w:val="0"/>
        <w:spacing w:after="0" w:line="240" w:lineRule="auto"/>
        <w:rPr>
          <w:rFonts w:eastAsia="Calibri" w:cstheme="minorHAnsi"/>
          <w:sz w:val="24"/>
          <w:szCs w:val="24"/>
        </w:rPr>
      </w:pPr>
      <w:r w:rsidRPr="003A2A64">
        <w:rPr>
          <w:rFonts w:eastAsia="Calibri" w:cstheme="minorHAnsi"/>
          <w:sz w:val="24"/>
          <w:szCs w:val="24"/>
        </w:rPr>
        <w:t xml:space="preserve">For promotion to Lecturer III, </w:t>
      </w:r>
      <w:r w:rsidR="003D788A">
        <w:rPr>
          <w:rFonts w:eastAsia="Calibri" w:cstheme="minorHAnsi"/>
          <w:sz w:val="24"/>
          <w:szCs w:val="24"/>
        </w:rPr>
        <w:t xml:space="preserve">the </w:t>
      </w:r>
      <w:r w:rsidR="00413EF4">
        <w:rPr>
          <w:rFonts w:eastAsia="Calibri" w:cstheme="minorHAnsi"/>
          <w:i/>
          <w:iCs/>
          <w:color w:val="000000"/>
          <w:sz w:val="24"/>
          <w:szCs w:val="24"/>
        </w:rPr>
        <w:t xml:space="preserve">Agreement </w:t>
      </w:r>
      <w:r w:rsidR="00413EF4">
        <w:rPr>
          <w:rFonts w:eastAsia="Calibri" w:cstheme="minorHAnsi"/>
          <w:color w:val="000000"/>
          <w:sz w:val="24"/>
          <w:szCs w:val="24"/>
        </w:rPr>
        <w:t xml:space="preserve">indicates </w:t>
      </w:r>
      <w:r w:rsidRPr="003A2A64">
        <w:rPr>
          <w:rFonts w:eastAsia="Calibri" w:cstheme="minorHAnsi"/>
          <w:sz w:val="24"/>
          <w:szCs w:val="24"/>
        </w:rPr>
        <w:t>applicants will also include</w:t>
      </w:r>
      <w:r w:rsidR="00DB3E6B">
        <w:rPr>
          <w:rFonts w:eastAsia="Calibri" w:cstheme="minorHAnsi"/>
          <w:sz w:val="24"/>
          <w:szCs w:val="24"/>
        </w:rPr>
        <w:t xml:space="preserve"> </w:t>
      </w:r>
      <w:r w:rsidRPr="003A2A64">
        <w:rPr>
          <w:rFonts w:eastAsia="Calibri" w:cstheme="minorHAnsi"/>
          <w:sz w:val="24"/>
          <w:szCs w:val="24"/>
        </w:rPr>
        <w:t xml:space="preserve">evidence of involvement in implementing teaching innovations, or in efforts to enhance or update courses or curricula in the area(s) taught by the applicant. </w:t>
      </w:r>
    </w:p>
    <w:p w14:paraId="5ECA602D" w14:textId="77777777" w:rsidR="00083A3E" w:rsidRPr="003A2A64" w:rsidRDefault="00083A3E" w:rsidP="00DB3E6B">
      <w:pPr>
        <w:widowControl w:val="0"/>
        <w:autoSpaceDE w:val="0"/>
        <w:autoSpaceDN w:val="0"/>
        <w:adjustRightInd w:val="0"/>
        <w:spacing w:after="0" w:line="240" w:lineRule="auto"/>
        <w:rPr>
          <w:rFonts w:eastAsia="Calibri" w:cstheme="minorHAnsi"/>
          <w:sz w:val="24"/>
          <w:szCs w:val="24"/>
        </w:rPr>
      </w:pPr>
    </w:p>
    <w:p w14:paraId="713836A8" w14:textId="3FF82DBD" w:rsidR="00F802AD" w:rsidRPr="002655D4" w:rsidRDefault="00F802AD" w:rsidP="00083A3E">
      <w:pPr>
        <w:pStyle w:val="NoSpacing"/>
        <w:spacing w:after="120"/>
        <w:rPr>
          <w:sz w:val="24"/>
          <w:szCs w:val="24"/>
        </w:rPr>
      </w:pPr>
      <w:r w:rsidRPr="00D82366">
        <w:rPr>
          <w:b/>
          <w:bCs/>
          <w:sz w:val="24"/>
          <w:szCs w:val="24"/>
        </w:rPr>
        <w:t xml:space="preserve">Evaluation </w:t>
      </w:r>
      <w:r w:rsidR="00712719">
        <w:rPr>
          <w:b/>
          <w:bCs/>
          <w:sz w:val="24"/>
          <w:szCs w:val="24"/>
        </w:rPr>
        <w:t>Standards and Criteria</w:t>
      </w:r>
      <w:r w:rsidR="000D01A6">
        <w:rPr>
          <w:b/>
          <w:bCs/>
          <w:sz w:val="24"/>
          <w:szCs w:val="24"/>
        </w:rPr>
        <w:t xml:space="preserve"> </w:t>
      </w:r>
      <w:r w:rsidR="000D01A6">
        <w:rPr>
          <w:sz w:val="24"/>
          <w:szCs w:val="24"/>
        </w:rPr>
        <w:t xml:space="preserve">(summarized from </w:t>
      </w:r>
      <w:r w:rsidR="00401CE1">
        <w:rPr>
          <w:sz w:val="24"/>
          <w:szCs w:val="24"/>
        </w:rPr>
        <w:t xml:space="preserve">the </w:t>
      </w:r>
      <w:r w:rsidR="002655D4">
        <w:rPr>
          <w:sz w:val="24"/>
          <w:szCs w:val="24"/>
        </w:rPr>
        <w:t xml:space="preserve">UTF </w:t>
      </w:r>
      <w:r w:rsidR="002655D4">
        <w:rPr>
          <w:i/>
          <w:iCs/>
          <w:sz w:val="24"/>
          <w:szCs w:val="24"/>
        </w:rPr>
        <w:t>Agreement</w:t>
      </w:r>
      <w:r w:rsidR="002655D4">
        <w:rPr>
          <w:sz w:val="24"/>
          <w:szCs w:val="24"/>
        </w:rPr>
        <w:t>)</w:t>
      </w:r>
    </w:p>
    <w:p w14:paraId="2F7D41B9" w14:textId="2444FA3A" w:rsidR="005D2FB0" w:rsidRPr="006D2B5B" w:rsidRDefault="005D2FB0" w:rsidP="00F04817">
      <w:pPr>
        <w:widowControl w:val="0"/>
        <w:autoSpaceDE w:val="0"/>
        <w:autoSpaceDN w:val="0"/>
        <w:adjustRightInd w:val="0"/>
        <w:spacing w:after="0" w:line="240" w:lineRule="auto"/>
        <w:rPr>
          <w:rFonts w:cstheme="minorHAnsi"/>
          <w:b/>
          <w:bCs/>
          <w:i/>
          <w:iCs/>
          <w:sz w:val="24"/>
          <w:szCs w:val="24"/>
        </w:rPr>
      </w:pPr>
      <w:r w:rsidRPr="006D2B5B">
        <w:rPr>
          <w:rFonts w:cstheme="minorHAnsi"/>
          <w:b/>
          <w:bCs/>
          <w:i/>
          <w:iCs/>
          <w:sz w:val="24"/>
          <w:szCs w:val="24"/>
        </w:rPr>
        <w:t>Subsequent appointment as L</w:t>
      </w:r>
      <w:r w:rsidR="00F04817" w:rsidRPr="006D2B5B">
        <w:rPr>
          <w:rFonts w:cstheme="minorHAnsi"/>
          <w:b/>
          <w:bCs/>
          <w:i/>
          <w:iCs/>
          <w:sz w:val="24"/>
          <w:szCs w:val="24"/>
        </w:rPr>
        <w:t>1</w:t>
      </w:r>
    </w:p>
    <w:p w14:paraId="734F28B3" w14:textId="0C9F14E7" w:rsidR="005D2FB0" w:rsidRPr="008F13B7" w:rsidRDefault="005D2FB0" w:rsidP="008F13B7">
      <w:pPr>
        <w:pStyle w:val="ListParagraph"/>
        <w:widowControl w:val="0"/>
        <w:numPr>
          <w:ilvl w:val="0"/>
          <w:numId w:val="7"/>
        </w:numPr>
        <w:autoSpaceDE w:val="0"/>
        <w:autoSpaceDN w:val="0"/>
        <w:adjustRightInd w:val="0"/>
        <w:spacing w:after="120" w:line="300" w:lineRule="atLeast"/>
        <w:rPr>
          <w:rFonts w:cstheme="minorHAnsi"/>
          <w:sz w:val="24"/>
          <w:szCs w:val="24"/>
        </w:rPr>
      </w:pPr>
      <w:r w:rsidRPr="008F13B7">
        <w:rPr>
          <w:rFonts w:cstheme="minorHAnsi"/>
          <w:sz w:val="24"/>
          <w:szCs w:val="24"/>
        </w:rPr>
        <w:t>The standard for subsequent appointment as L</w:t>
      </w:r>
      <w:r w:rsidR="001E0BC0" w:rsidRPr="008F13B7">
        <w:rPr>
          <w:rFonts w:cstheme="minorHAnsi"/>
          <w:sz w:val="24"/>
          <w:szCs w:val="24"/>
        </w:rPr>
        <w:t>1</w:t>
      </w:r>
      <w:r w:rsidRPr="008F13B7">
        <w:rPr>
          <w:rFonts w:cstheme="minorHAnsi"/>
          <w:sz w:val="24"/>
          <w:szCs w:val="24"/>
        </w:rPr>
        <w:t xml:space="preserve"> is evidence of effective teaching. </w:t>
      </w:r>
    </w:p>
    <w:p w14:paraId="3ED95AB5" w14:textId="08D7394A" w:rsidR="005D2FB0" w:rsidRPr="006D2B5B" w:rsidRDefault="005D2FB0" w:rsidP="006B250B">
      <w:pPr>
        <w:widowControl w:val="0"/>
        <w:autoSpaceDE w:val="0"/>
        <w:autoSpaceDN w:val="0"/>
        <w:adjustRightInd w:val="0"/>
        <w:spacing w:after="0" w:line="240" w:lineRule="auto"/>
        <w:rPr>
          <w:rFonts w:cstheme="minorHAnsi"/>
          <w:b/>
          <w:bCs/>
          <w:i/>
          <w:iCs/>
          <w:sz w:val="24"/>
          <w:szCs w:val="24"/>
        </w:rPr>
      </w:pPr>
      <w:r w:rsidRPr="006D2B5B">
        <w:rPr>
          <w:rFonts w:cstheme="minorHAnsi"/>
          <w:b/>
          <w:bCs/>
          <w:i/>
          <w:iCs/>
          <w:sz w:val="24"/>
          <w:szCs w:val="24"/>
        </w:rPr>
        <w:t xml:space="preserve">Promotion to </w:t>
      </w:r>
      <w:r w:rsidR="00F04817" w:rsidRPr="006D2B5B">
        <w:rPr>
          <w:rFonts w:cstheme="minorHAnsi"/>
          <w:b/>
          <w:bCs/>
          <w:i/>
          <w:iCs/>
          <w:sz w:val="24"/>
          <w:szCs w:val="24"/>
        </w:rPr>
        <w:t>L2</w:t>
      </w:r>
      <w:r w:rsidRPr="006D2B5B">
        <w:rPr>
          <w:rFonts w:cstheme="minorHAnsi"/>
          <w:b/>
          <w:bCs/>
          <w:i/>
          <w:iCs/>
          <w:sz w:val="24"/>
          <w:szCs w:val="24"/>
        </w:rPr>
        <w:t xml:space="preserve"> </w:t>
      </w:r>
    </w:p>
    <w:p w14:paraId="33799903" w14:textId="79BC2465" w:rsidR="005D2FB0" w:rsidRPr="005D2FB0" w:rsidRDefault="005D2FB0" w:rsidP="006D2B5B">
      <w:pPr>
        <w:widowControl w:val="0"/>
        <w:autoSpaceDE w:val="0"/>
        <w:autoSpaceDN w:val="0"/>
        <w:adjustRightInd w:val="0"/>
        <w:spacing w:after="0" w:line="240" w:lineRule="auto"/>
        <w:rPr>
          <w:rFonts w:cstheme="minorHAnsi"/>
          <w:sz w:val="24"/>
          <w:szCs w:val="24"/>
        </w:rPr>
      </w:pPr>
      <w:r w:rsidRPr="005D2FB0">
        <w:rPr>
          <w:rFonts w:cstheme="minorHAnsi"/>
          <w:sz w:val="24"/>
          <w:szCs w:val="24"/>
        </w:rPr>
        <w:t xml:space="preserve">Faculty who </w:t>
      </w:r>
      <w:proofErr w:type="gramStart"/>
      <w:r w:rsidRPr="005D2FB0">
        <w:rPr>
          <w:rFonts w:cstheme="minorHAnsi"/>
          <w:sz w:val="24"/>
          <w:szCs w:val="24"/>
        </w:rPr>
        <w:t>have</w:t>
      </w:r>
      <w:proofErr w:type="gramEnd"/>
      <w:r w:rsidRPr="005D2FB0">
        <w:rPr>
          <w:rFonts w:cstheme="minorHAnsi"/>
          <w:sz w:val="24"/>
          <w:szCs w:val="24"/>
        </w:rPr>
        <w:t xml:space="preserve"> held Lecturer I appointments of at least half time for 8 successive semesters, and received positive evaluations during that time, are eligible for promotion to L</w:t>
      </w:r>
      <w:r w:rsidR="00BA1A0B">
        <w:rPr>
          <w:rFonts w:cstheme="minorHAnsi"/>
          <w:sz w:val="24"/>
          <w:szCs w:val="24"/>
        </w:rPr>
        <w:t>2</w:t>
      </w:r>
      <w:r w:rsidRPr="005D2FB0">
        <w:rPr>
          <w:rFonts w:cstheme="minorHAnsi"/>
          <w:sz w:val="24"/>
          <w:szCs w:val="24"/>
        </w:rPr>
        <w:t xml:space="preserve">. </w:t>
      </w:r>
    </w:p>
    <w:p w14:paraId="5AEFD7F6" w14:textId="77777777" w:rsidR="005D2FB0" w:rsidRPr="00094DB4" w:rsidRDefault="005D2FB0" w:rsidP="00094DB4">
      <w:pPr>
        <w:pStyle w:val="ListParagraph"/>
        <w:widowControl w:val="0"/>
        <w:numPr>
          <w:ilvl w:val="0"/>
          <w:numId w:val="7"/>
        </w:numPr>
        <w:autoSpaceDE w:val="0"/>
        <w:autoSpaceDN w:val="0"/>
        <w:adjustRightInd w:val="0"/>
        <w:spacing w:after="120" w:line="300" w:lineRule="atLeast"/>
        <w:rPr>
          <w:rFonts w:cstheme="minorHAnsi"/>
          <w:sz w:val="24"/>
          <w:szCs w:val="24"/>
        </w:rPr>
      </w:pPr>
      <w:r w:rsidRPr="00094DB4">
        <w:rPr>
          <w:rFonts w:cstheme="minorHAnsi"/>
          <w:sz w:val="24"/>
          <w:szCs w:val="24"/>
        </w:rPr>
        <w:t xml:space="preserve">The standard for promotion to Lecturer II is a consistent record of effective teaching. </w:t>
      </w:r>
    </w:p>
    <w:p w14:paraId="3E3CEA55" w14:textId="772264E6" w:rsidR="005D2FB0" w:rsidRPr="006D2B5B" w:rsidRDefault="005D2FB0" w:rsidP="006B250B">
      <w:pPr>
        <w:widowControl w:val="0"/>
        <w:autoSpaceDE w:val="0"/>
        <w:autoSpaceDN w:val="0"/>
        <w:adjustRightInd w:val="0"/>
        <w:spacing w:after="0" w:line="240" w:lineRule="auto"/>
        <w:rPr>
          <w:rFonts w:cstheme="minorHAnsi"/>
          <w:b/>
          <w:bCs/>
          <w:i/>
          <w:iCs/>
          <w:sz w:val="24"/>
          <w:szCs w:val="24"/>
        </w:rPr>
      </w:pPr>
      <w:r w:rsidRPr="006D2B5B">
        <w:rPr>
          <w:rFonts w:cstheme="minorHAnsi"/>
          <w:b/>
          <w:bCs/>
          <w:i/>
          <w:iCs/>
          <w:sz w:val="24"/>
          <w:szCs w:val="24"/>
        </w:rPr>
        <w:t>Subsequent appointment as L</w:t>
      </w:r>
      <w:r w:rsidR="00960115" w:rsidRPr="006D2B5B">
        <w:rPr>
          <w:rFonts w:cstheme="minorHAnsi"/>
          <w:b/>
          <w:bCs/>
          <w:i/>
          <w:iCs/>
          <w:sz w:val="24"/>
          <w:szCs w:val="24"/>
        </w:rPr>
        <w:t>2</w:t>
      </w:r>
      <w:r w:rsidRPr="006D2B5B">
        <w:rPr>
          <w:rFonts w:cstheme="minorHAnsi"/>
          <w:b/>
          <w:bCs/>
          <w:i/>
          <w:iCs/>
          <w:sz w:val="24"/>
          <w:szCs w:val="24"/>
        </w:rPr>
        <w:t xml:space="preserve"> </w:t>
      </w:r>
    </w:p>
    <w:p w14:paraId="41F6A348" w14:textId="264AC590" w:rsidR="005D2FB0" w:rsidRPr="00BA1A0B" w:rsidRDefault="005D2FB0" w:rsidP="00BA1A0B">
      <w:pPr>
        <w:pStyle w:val="ListParagraph"/>
        <w:widowControl w:val="0"/>
        <w:numPr>
          <w:ilvl w:val="0"/>
          <w:numId w:val="7"/>
        </w:numPr>
        <w:autoSpaceDE w:val="0"/>
        <w:autoSpaceDN w:val="0"/>
        <w:adjustRightInd w:val="0"/>
        <w:spacing w:after="120" w:line="240" w:lineRule="auto"/>
        <w:rPr>
          <w:rFonts w:cstheme="minorHAnsi"/>
          <w:sz w:val="24"/>
          <w:szCs w:val="24"/>
        </w:rPr>
      </w:pPr>
      <w:r w:rsidRPr="00BA1A0B">
        <w:rPr>
          <w:rFonts w:cstheme="minorHAnsi"/>
          <w:sz w:val="24"/>
          <w:szCs w:val="24"/>
        </w:rPr>
        <w:t>The standard for subsequent appointment as L</w:t>
      </w:r>
      <w:r w:rsidR="00401CE1">
        <w:rPr>
          <w:rFonts w:cstheme="minorHAnsi"/>
          <w:sz w:val="24"/>
          <w:szCs w:val="24"/>
        </w:rPr>
        <w:t>2</w:t>
      </w:r>
      <w:r w:rsidRPr="00BA1A0B">
        <w:rPr>
          <w:rFonts w:cstheme="minorHAnsi"/>
          <w:sz w:val="24"/>
          <w:szCs w:val="24"/>
        </w:rPr>
        <w:t xml:space="preserve"> is a continuing consistent record of effective teaching. </w:t>
      </w:r>
    </w:p>
    <w:p w14:paraId="2DE2EA48" w14:textId="6F1917CA" w:rsidR="005D2FB0" w:rsidRPr="00401CE1" w:rsidRDefault="005D2FB0" w:rsidP="006B250B">
      <w:pPr>
        <w:widowControl w:val="0"/>
        <w:autoSpaceDE w:val="0"/>
        <w:autoSpaceDN w:val="0"/>
        <w:adjustRightInd w:val="0"/>
        <w:spacing w:after="0" w:line="240" w:lineRule="auto"/>
        <w:rPr>
          <w:rFonts w:cstheme="minorHAnsi"/>
          <w:b/>
          <w:bCs/>
          <w:i/>
          <w:iCs/>
          <w:sz w:val="24"/>
          <w:szCs w:val="24"/>
        </w:rPr>
      </w:pPr>
      <w:r w:rsidRPr="00401CE1">
        <w:rPr>
          <w:rFonts w:cstheme="minorHAnsi"/>
          <w:b/>
          <w:bCs/>
          <w:i/>
          <w:iCs/>
          <w:sz w:val="24"/>
          <w:szCs w:val="24"/>
        </w:rPr>
        <w:t>Promotion to L</w:t>
      </w:r>
      <w:r w:rsidR="00960115" w:rsidRPr="00401CE1">
        <w:rPr>
          <w:rFonts w:cstheme="minorHAnsi"/>
          <w:b/>
          <w:bCs/>
          <w:i/>
          <w:iCs/>
          <w:sz w:val="24"/>
          <w:szCs w:val="24"/>
        </w:rPr>
        <w:t>3</w:t>
      </w:r>
    </w:p>
    <w:p w14:paraId="75429FEC" w14:textId="7839A1D1" w:rsidR="005D2FB0" w:rsidRPr="006B250B" w:rsidRDefault="005D2FB0" w:rsidP="00DC43DB">
      <w:pPr>
        <w:widowControl w:val="0"/>
        <w:autoSpaceDE w:val="0"/>
        <w:autoSpaceDN w:val="0"/>
        <w:adjustRightInd w:val="0"/>
        <w:spacing w:after="0"/>
        <w:rPr>
          <w:rFonts w:cstheme="minorHAnsi"/>
          <w:sz w:val="24"/>
          <w:szCs w:val="24"/>
        </w:rPr>
      </w:pPr>
      <w:r w:rsidRPr="006B250B">
        <w:rPr>
          <w:rFonts w:cstheme="minorHAnsi"/>
          <w:sz w:val="24"/>
          <w:szCs w:val="24"/>
        </w:rPr>
        <w:t xml:space="preserve">Faculty who </w:t>
      </w:r>
      <w:proofErr w:type="gramStart"/>
      <w:r w:rsidRPr="006B250B">
        <w:rPr>
          <w:rFonts w:cstheme="minorHAnsi"/>
          <w:sz w:val="24"/>
          <w:szCs w:val="24"/>
        </w:rPr>
        <w:t>have</w:t>
      </w:r>
      <w:proofErr w:type="gramEnd"/>
      <w:r w:rsidRPr="006B250B">
        <w:rPr>
          <w:rFonts w:cstheme="minorHAnsi"/>
          <w:sz w:val="24"/>
          <w:szCs w:val="24"/>
        </w:rPr>
        <w:t xml:space="preserve"> held L</w:t>
      </w:r>
      <w:r w:rsidR="00401CE1">
        <w:rPr>
          <w:rFonts w:cstheme="minorHAnsi"/>
          <w:sz w:val="24"/>
          <w:szCs w:val="24"/>
        </w:rPr>
        <w:t xml:space="preserve">2 </w:t>
      </w:r>
      <w:r w:rsidRPr="006B250B">
        <w:rPr>
          <w:rFonts w:cstheme="minorHAnsi"/>
          <w:sz w:val="24"/>
          <w:szCs w:val="24"/>
        </w:rPr>
        <w:t xml:space="preserve">appointments of at least 3/4 time for 10 successive semesters, and received positive evaluations during that time, are eligible for promotion to </w:t>
      </w:r>
      <w:r w:rsidR="00094DB4">
        <w:rPr>
          <w:rFonts w:cstheme="minorHAnsi"/>
          <w:sz w:val="24"/>
          <w:szCs w:val="24"/>
        </w:rPr>
        <w:t>L3.</w:t>
      </w:r>
      <w:r w:rsidRPr="006B250B">
        <w:rPr>
          <w:rFonts w:cstheme="minorHAnsi"/>
          <w:sz w:val="24"/>
          <w:szCs w:val="24"/>
        </w:rPr>
        <w:t xml:space="preserve"> </w:t>
      </w:r>
    </w:p>
    <w:p w14:paraId="17FE23C9" w14:textId="77777777" w:rsidR="005D2FB0" w:rsidRPr="005D2FB0" w:rsidRDefault="005D2FB0" w:rsidP="005D2FB0">
      <w:pPr>
        <w:pStyle w:val="ListParagraph"/>
        <w:widowControl w:val="0"/>
        <w:numPr>
          <w:ilvl w:val="0"/>
          <w:numId w:val="5"/>
        </w:numPr>
        <w:autoSpaceDE w:val="0"/>
        <w:autoSpaceDN w:val="0"/>
        <w:adjustRightInd w:val="0"/>
        <w:spacing w:after="120" w:line="240" w:lineRule="auto"/>
        <w:ind w:left="605" w:hanging="331"/>
        <w:rPr>
          <w:rFonts w:cstheme="minorHAnsi"/>
          <w:sz w:val="24"/>
          <w:szCs w:val="24"/>
        </w:rPr>
      </w:pPr>
      <w:r w:rsidRPr="005D2FB0">
        <w:rPr>
          <w:rFonts w:cstheme="minorHAnsi"/>
          <w:sz w:val="24"/>
          <w:szCs w:val="24"/>
        </w:rPr>
        <w:t xml:space="preserve">The standard for promotion to Lecturer III is a consistent record of effective teaching, and a record of active involvement in implementing teaching innovations, or in efforts to enhance or update courses or curricula in the area(s) taught by the applicant. </w:t>
      </w:r>
    </w:p>
    <w:p w14:paraId="0BAFA406" w14:textId="23ED7211" w:rsidR="005D2FB0" w:rsidRPr="005F62D9" w:rsidRDefault="005D2FB0" w:rsidP="00E4788E">
      <w:pPr>
        <w:keepNext/>
        <w:widowControl w:val="0"/>
        <w:autoSpaceDE w:val="0"/>
        <w:autoSpaceDN w:val="0"/>
        <w:adjustRightInd w:val="0"/>
        <w:spacing w:after="0" w:line="240" w:lineRule="auto"/>
        <w:rPr>
          <w:rFonts w:cstheme="minorHAnsi"/>
          <w:b/>
          <w:bCs/>
          <w:sz w:val="24"/>
          <w:szCs w:val="24"/>
        </w:rPr>
      </w:pPr>
      <w:r w:rsidRPr="005F62D9">
        <w:rPr>
          <w:rFonts w:cstheme="minorHAnsi"/>
          <w:b/>
          <w:bCs/>
          <w:i/>
          <w:iCs/>
          <w:sz w:val="24"/>
          <w:szCs w:val="24"/>
        </w:rPr>
        <w:lastRenderedPageBreak/>
        <w:t xml:space="preserve">Subsequent appointment as </w:t>
      </w:r>
      <w:r w:rsidR="00DC43DB" w:rsidRPr="005F62D9">
        <w:rPr>
          <w:rFonts w:cstheme="minorHAnsi"/>
          <w:b/>
          <w:bCs/>
          <w:i/>
          <w:iCs/>
          <w:sz w:val="24"/>
          <w:szCs w:val="24"/>
        </w:rPr>
        <w:t>L3</w:t>
      </w:r>
      <w:r w:rsidRPr="005F62D9">
        <w:rPr>
          <w:rFonts w:cstheme="minorHAnsi"/>
          <w:b/>
          <w:bCs/>
          <w:i/>
          <w:iCs/>
          <w:sz w:val="24"/>
          <w:szCs w:val="24"/>
        </w:rPr>
        <w:t xml:space="preserve"> </w:t>
      </w:r>
    </w:p>
    <w:p w14:paraId="2E93A546" w14:textId="6C343106" w:rsidR="00F802AD" w:rsidRPr="005D2FB0" w:rsidRDefault="005D2FB0" w:rsidP="00E4788E">
      <w:pPr>
        <w:pStyle w:val="NoSpacing"/>
        <w:keepNext/>
        <w:rPr>
          <w:rFonts w:cstheme="minorHAnsi"/>
          <w:sz w:val="24"/>
          <w:szCs w:val="24"/>
        </w:rPr>
      </w:pPr>
      <w:r w:rsidRPr="005D2FB0">
        <w:rPr>
          <w:rFonts w:cstheme="minorHAnsi"/>
          <w:sz w:val="24"/>
          <w:szCs w:val="24"/>
        </w:rPr>
        <w:t>The standard for subsequent appointments as Lecturer III is a continuing consistent record of effective teaching and ongoing involvement in teaching innovations or course/curricula updates in the area(s) taught by the applicant.</w:t>
      </w:r>
    </w:p>
    <w:p w14:paraId="097CAE90" w14:textId="22D1E59D" w:rsidR="00FE5F7C" w:rsidRPr="00156CD9" w:rsidRDefault="00156CD9" w:rsidP="00156CD9">
      <w:pPr>
        <w:pStyle w:val="NoSpacing"/>
        <w:spacing w:before="60"/>
        <w:jc w:val="right"/>
        <w:rPr>
          <w:sz w:val="18"/>
          <w:szCs w:val="24"/>
        </w:rPr>
      </w:pPr>
      <w:r w:rsidRPr="00415CF0">
        <w:rPr>
          <w:sz w:val="18"/>
          <w:szCs w:val="24"/>
        </w:rPr>
        <w:t>[</w:t>
      </w:r>
      <w:r>
        <w:rPr>
          <w:sz w:val="18"/>
          <w:szCs w:val="24"/>
        </w:rPr>
        <w:t xml:space="preserve">Approved by CBA DAC </w:t>
      </w:r>
      <w:r w:rsidR="000C531C">
        <w:rPr>
          <w:sz w:val="18"/>
          <w:szCs w:val="24"/>
        </w:rPr>
        <w:t xml:space="preserve">September </w:t>
      </w:r>
      <w:r>
        <w:rPr>
          <w:sz w:val="18"/>
          <w:szCs w:val="24"/>
        </w:rPr>
        <w:t>2023</w:t>
      </w:r>
      <w:r w:rsidRPr="00415CF0">
        <w:rPr>
          <w:sz w:val="18"/>
          <w:szCs w:val="24"/>
        </w:rPr>
        <w:t>]</w:t>
      </w:r>
    </w:p>
    <w:sectPr w:rsidR="00FE5F7C" w:rsidRPr="00156CD9" w:rsidSect="000B34ED">
      <w:footerReference w:type="default" r:id="rId12"/>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626D" w14:textId="77777777" w:rsidR="00B3497B" w:rsidRDefault="00B3497B" w:rsidP="00407E00">
      <w:pPr>
        <w:spacing w:after="0" w:line="240" w:lineRule="auto"/>
      </w:pPr>
      <w:r>
        <w:separator/>
      </w:r>
    </w:p>
  </w:endnote>
  <w:endnote w:type="continuationSeparator" w:id="0">
    <w:p w14:paraId="1ECB8765" w14:textId="77777777" w:rsidR="00B3497B" w:rsidRDefault="00B3497B" w:rsidP="0040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327567"/>
      <w:docPartObj>
        <w:docPartGallery w:val="Page Numbers (Bottom of Page)"/>
        <w:docPartUnique/>
      </w:docPartObj>
    </w:sdtPr>
    <w:sdtEndPr>
      <w:rPr>
        <w:noProof/>
      </w:rPr>
    </w:sdtEndPr>
    <w:sdtContent>
      <w:p w14:paraId="1319132E" w14:textId="3A4C920B" w:rsidR="00407E00" w:rsidRDefault="00407E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0CF1B5" w14:textId="77777777" w:rsidR="00407E00" w:rsidRDefault="00407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379D" w14:textId="77777777" w:rsidR="00B3497B" w:rsidRDefault="00B3497B" w:rsidP="00407E00">
      <w:pPr>
        <w:spacing w:after="0" w:line="240" w:lineRule="auto"/>
      </w:pPr>
      <w:r>
        <w:separator/>
      </w:r>
    </w:p>
  </w:footnote>
  <w:footnote w:type="continuationSeparator" w:id="0">
    <w:p w14:paraId="2107C7FA" w14:textId="77777777" w:rsidR="00B3497B" w:rsidRDefault="00B3497B" w:rsidP="00407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B574A5D2"/>
    <w:lvl w:ilvl="0" w:tplc="04090005">
      <w:start w:val="1"/>
      <w:numFmt w:val="bullet"/>
      <w:lvlText w:val=""/>
      <w:lvlJc w:val="left"/>
      <w:pPr>
        <w:ind w:left="1912" w:hanging="360"/>
      </w:pPr>
      <w:rPr>
        <w:rFonts w:ascii="Wingdings" w:hAnsi="Wingdings" w:hint="default"/>
      </w:rPr>
    </w:lvl>
    <w:lvl w:ilvl="1" w:tplc="04090005">
      <w:start w:val="1"/>
      <w:numFmt w:val="bullet"/>
      <w:lvlText w:val=""/>
      <w:lvlJc w:val="left"/>
      <w:pPr>
        <w:ind w:left="1332"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937AD6"/>
    <w:multiLevelType w:val="hybridMultilevel"/>
    <w:tmpl w:val="3494A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E3C8B"/>
    <w:multiLevelType w:val="hybridMultilevel"/>
    <w:tmpl w:val="C7FCA550"/>
    <w:lvl w:ilvl="0" w:tplc="000000C9">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580080"/>
    <w:multiLevelType w:val="hybridMultilevel"/>
    <w:tmpl w:val="C2CED39E"/>
    <w:lvl w:ilvl="0" w:tplc="ED8A46C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A4D7D"/>
    <w:multiLevelType w:val="hybridMultilevel"/>
    <w:tmpl w:val="FC7CBE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034DE3"/>
    <w:multiLevelType w:val="hybridMultilevel"/>
    <w:tmpl w:val="991E9F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D1D0DE6"/>
    <w:multiLevelType w:val="hybridMultilevel"/>
    <w:tmpl w:val="C5086C7A"/>
    <w:lvl w:ilvl="0" w:tplc="ED8A46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390795">
    <w:abstractNumId w:val="6"/>
  </w:num>
  <w:num w:numId="2" w16cid:durableId="1862275365">
    <w:abstractNumId w:val="3"/>
  </w:num>
  <w:num w:numId="3" w16cid:durableId="1298799880">
    <w:abstractNumId w:val="5"/>
  </w:num>
  <w:num w:numId="4" w16cid:durableId="985740924">
    <w:abstractNumId w:val="4"/>
  </w:num>
  <w:num w:numId="5" w16cid:durableId="1185170108">
    <w:abstractNumId w:val="0"/>
  </w:num>
  <w:num w:numId="6" w16cid:durableId="858474663">
    <w:abstractNumId w:val="2"/>
  </w:num>
  <w:num w:numId="7" w16cid:durableId="56518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A2"/>
    <w:rsid w:val="000008B6"/>
    <w:rsid w:val="00006CDD"/>
    <w:rsid w:val="00033278"/>
    <w:rsid w:val="00041D81"/>
    <w:rsid w:val="0005454C"/>
    <w:rsid w:val="00063368"/>
    <w:rsid w:val="00083A3E"/>
    <w:rsid w:val="00085B86"/>
    <w:rsid w:val="00092181"/>
    <w:rsid w:val="00094DB4"/>
    <w:rsid w:val="000B34ED"/>
    <w:rsid w:val="000C334C"/>
    <w:rsid w:val="000C4FD2"/>
    <w:rsid w:val="000C531C"/>
    <w:rsid w:val="000D01A6"/>
    <w:rsid w:val="000D18D9"/>
    <w:rsid w:val="000E3863"/>
    <w:rsid w:val="000E4058"/>
    <w:rsid w:val="000E4582"/>
    <w:rsid w:val="00105105"/>
    <w:rsid w:val="00114B8F"/>
    <w:rsid w:val="00134699"/>
    <w:rsid w:val="00143B33"/>
    <w:rsid w:val="00150C8E"/>
    <w:rsid w:val="00151A00"/>
    <w:rsid w:val="00156CD9"/>
    <w:rsid w:val="00166D71"/>
    <w:rsid w:val="00167866"/>
    <w:rsid w:val="00174B6D"/>
    <w:rsid w:val="00192630"/>
    <w:rsid w:val="001B10EF"/>
    <w:rsid w:val="001B2F98"/>
    <w:rsid w:val="001B3477"/>
    <w:rsid w:val="001B7AE4"/>
    <w:rsid w:val="001E0BC0"/>
    <w:rsid w:val="001E40CC"/>
    <w:rsid w:val="00204C0D"/>
    <w:rsid w:val="0021484C"/>
    <w:rsid w:val="00214FDC"/>
    <w:rsid w:val="002201A2"/>
    <w:rsid w:val="00252626"/>
    <w:rsid w:val="00262090"/>
    <w:rsid w:val="002655D4"/>
    <w:rsid w:val="002741DB"/>
    <w:rsid w:val="002815ED"/>
    <w:rsid w:val="002851AC"/>
    <w:rsid w:val="00285D15"/>
    <w:rsid w:val="002946A8"/>
    <w:rsid w:val="002E7B96"/>
    <w:rsid w:val="002E7BE9"/>
    <w:rsid w:val="002E7EFF"/>
    <w:rsid w:val="002F49DA"/>
    <w:rsid w:val="00312C97"/>
    <w:rsid w:val="00312EAB"/>
    <w:rsid w:val="00321D0B"/>
    <w:rsid w:val="003232AC"/>
    <w:rsid w:val="00327198"/>
    <w:rsid w:val="003301D9"/>
    <w:rsid w:val="003346B5"/>
    <w:rsid w:val="00346C4E"/>
    <w:rsid w:val="00360A94"/>
    <w:rsid w:val="00362A69"/>
    <w:rsid w:val="00367F41"/>
    <w:rsid w:val="003712CB"/>
    <w:rsid w:val="00382E9A"/>
    <w:rsid w:val="003942B0"/>
    <w:rsid w:val="003A2A64"/>
    <w:rsid w:val="003A4B1A"/>
    <w:rsid w:val="003A7907"/>
    <w:rsid w:val="003D788A"/>
    <w:rsid w:val="003F2770"/>
    <w:rsid w:val="003F60F9"/>
    <w:rsid w:val="003F6B38"/>
    <w:rsid w:val="00401CE1"/>
    <w:rsid w:val="00405625"/>
    <w:rsid w:val="00405963"/>
    <w:rsid w:val="00407E00"/>
    <w:rsid w:val="00413EF4"/>
    <w:rsid w:val="00415CF0"/>
    <w:rsid w:val="00417554"/>
    <w:rsid w:val="004261EF"/>
    <w:rsid w:val="00441F4A"/>
    <w:rsid w:val="004545B8"/>
    <w:rsid w:val="00454E1D"/>
    <w:rsid w:val="00461D46"/>
    <w:rsid w:val="0046697F"/>
    <w:rsid w:val="004738AF"/>
    <w:rsid w:val="00477513"/>
    <w:rsid w:val="004A6C0B"/>
    <w:rsid w:val="004D10A5"/>
    <w:rsid w:val="0050049D"/>
    <w:rsid w:val="00511AA9"/>
    <w:rsid w:val="00515958"/>
    <w:rsid w:val="00531CC7"/>
    <w:rsid w:val="00534831"/>
    <w:rsid w:val="00536384"/>
    <w:rsid w:val="00536B58"/>
    <w:rsid w:val="005428B4"/>
    <w:rsid w:val="00545F6A"/>
    <w:rsid w:val="0057266E"/>
    <w:rsid w:val="00572D05"/>
    <w:rsid w:val="005748B9"/>
    <w:rsid w:val="00580296"/>
    <w:rsid w:val="005914ED"/>
    <w:rsid w:val="00596639"/>
    <w:rsid w:val="005B23F0"/>
    <w:rsid w:val="005D2FB0"/>
    <w:rsid w:val="005F2DA7"/>
    <w:rsid w:val="005F62D9"/>
    <w:rsid w:val="00611828"/>
    <w:rsid w:val="00621F4C"/>
    <w:rsid w:val="00633F31"/>
    <w:rsid w:val="006349B3"/>
    <w:rsid w:val="0063614C"/>
    <w:rsid w:val="006461AD"/>
    <w:rsid w:val="00652B1B"/>
    <w:rsid w:val="00654468"/>
    <w:rsid w:val="00654D75"/>
    <w:rsid w:val="00663F4D"/>
    <w:rsid w:val="00675E9E"/>
    <w:rsid w:val="00684502"/>
    <w:rsid w:val="006A4F22"/>
    <w:rsid w:val="006B01A9"/>
    <w:rsid w:val="006B250B"/>
    <w:rsid w:val="006D2B5B"/>
    <w:rsid w:val="006D5B9B"/>
    <w:rsid w:val="006D76C3"/>
    <w:rsid w:val="006E4C67"/>
    <w:rsid w:val="006F70B9"/>
    <w:rsid w:val="00712719"/>
    <w:rsid w:val="00722296"/>
    <w:rsid w:val="007251D8"/>
    <w:rsid w:val="00725E91"/>
    <w:rsid w:val="007536CA"/>
    <w:rsid w:val="00754D42"/>
    <w:rsid w:val="0075700F"/>
    <w:rsid w:val="0076596E"/>
    <w:rsid w:val="007724B9"/>
    <w:rsid w:val="007726CE"/>
    <w:rsid w:val="00796301"/>
    <w:rsid w:val="0079789F"/>
    <w:rsid w:val="007A7C9D"/>
    <w:rsid w:val="007C60F0"/>
    <w:rsid w:val="007C7D5F"/>
    <w:rsid w:val="007E4F1E"/>
    <w:rsid w:val="007E5900"/>
    <w:rsid w:val="007F5368"/>
    <w:rsid w:val="00805D65"/>
    <w:rsid w:val="00817520"/>
    <w:rsid w:val="00820F68"/>
    <w:rsid w:val="00833298"/>
    <w:rsid w:val="0083497A"/>
    <w:rsid w:val="00841F9B"/>
    <w:rsid w:val="00852FEA"/>
    <w:rsid w:val="00860AC6"/>
    <w:rsid w:val="00861917"/>
    <w:rsid w:val="008740CE"/>
    <w:rsid w:val="008A25A6"/>
    <w:rsid w:val="008C0A20"/>
    <w:rsid w:val="008C69D2"/>
    <w:rsid w:val="008E55F9"/>
    <w:rsid w:val="008F13B7"/>
    <w:rsid w:val="008F797E"/>
    <w:rsid w:val="009032D9"/>
    <w:rsid w:val="00903641"/>
    <w:rsid w:val="00906012"/>
    <w:rsid w:val="00910652"/>
    <w:rsid w:val="00932DA0"/>
    <w:rsid w:val="009350F8"/>
    <w:rsid w:val="00942A86"/>
    <w:rsid w:val="00951490"/>
    <w:rsid w:val="00960115"/>
    <w:rsid w:val="009B0F2C"/>
    <w:rsid w:val="009B49E2"/>
    <w:rsid w:val="009C6642"/>
    <w:rsid w:val="009D15A1"/>
    <w:rsid w:val="009E7DCD"/>
    <w:rsid w:val="009F382C"/>
    <w:rsid w:val="00A0598D"/>
    <w:rsid w:val="00A163E4"/>
    <w:rsid w:val="00A2021F"/>
    <w:rsid w:val="00A21B13"/>
    <w:rsid w:val="00A43859"/>
    <w:rsid w:val="00A748DB"/>
    <w:rsid w:val="00A8015F"/>
    <w:rsid w:val="00AD39CF"/>
    <w:rsid w:val="00AE1E56"/>
    <w:rsid w:val="00AE5F5D"/>
    <w:rsid w:val="00AF0828"/>
    <w:rsid w:val="00AF5B92"/>
    <w:rsid w:val="00B05A1E"/>
    <w:rsid w:val="00B3497B"/>
    <w:rsid w:val="00B41E02"/>
    <w:rsid w:val="00B52BE2"/>
    <w:rsid w:val="00B6453C"/>
    <w:rsid w:val="00B65E28"/>
    <w:rsid w:val="00B722BE"/>
    <w:rsid w:val="00B74D74"/>
    <w:rsid w:val="00B7548C"/>
    <w:rsid w:val="00B837FC"/>
    <w:rsid w:val="00B856C8"/>
    <w:rsid w:val="00BA1A0B"/>
    <w:rsid w:val="00BC7E11"/>
    <w:rsid w:val="00BD0C53"/>
    <w:rsid w:val="00BF1183"/>
    <w:rsid w:val="00BF4D27"/>
    <w:rsid w:val="00C13688"/>
    <w:rsid w:val="00C32D27"/>
    <w:rsid w:val="00C62D09"/>
    <w:rsid w:val="00C70CFD"/>
    <w:rsid w:val="00C770DE"/>
    <w:rsid w:val="00C80E03"/>
    <w:rsid w:val="00CA05E0"/>
    <w:rsid w:val="00CF0225"/>
    <w:rsid w:val="00D11330"/>
    <w:rsid w:val="00D2584D"/>
    <w:rsid w:val="00D272EC"/>
    <w:rsid w:val="00D52239"/>
    <w:rsid w:val="00D534A5"/>
    <w:rsid w:val="00D76B09"/>
    <w:rsid w:val="00D82366"/>
    <w:rsid w:val="00D82F16"/>
    <w:rsid w:val="00D85C7A"/>
    <w:rsid w:val="00D93CB0"/>
    <w:rsid w:val="00DB0179"/>
    <w:rsid w:val="00DB3E6B"/>
    <w:rsid w:val="00DB4F0D"/>
    <w:rsid w:val="00DC43DB"/>
    <w:rsid w:val="00DF006D"/>
    <w:rsid w:val="00DF6A1E"/>
    <w:rsid w:val="00E05679"/>
    <w:rsid w:val="00E238B3"/>
    <w:rsid w:val="00E37A2F"/>
    <w:rsid w:val="00E41D90"/>
    <w:rsid w:val="00E4788E"/>
    <w:rsid w:val="00E55793"/>
    <w:rsid w:val="00E614B6"/>
    <w:rsid w:val="00E82E33"/>
    <w:rsid w:val="00E84B41"/>
    <w:rsid w:val="00E86DB4"/>
    <w:rsid w:val="00E86EF7"/>
    <w:rsid w:val="00E970A2"/>
    <w:rsid w:val="00EA6F57"/>
    <w:rsid w:val="00EB0407"/>
    <w:rsid w:val="00EB0C29"/>
    <w:rsid w:val="00EB3E19"/>
    <w:rsid w:val="00EE5905"/>
    <w:rsid w:val="00EF4BBB"/>
    <w:rsid w:val="00F04817"/>
    <w:rsid w:val="00F2204F"/>
    <w:rsid w:val="00F3001A"/>
    <w:rsid w:val="00F370E4"/>
    <w:rsid w:val="00F73E82"/>
    <w:rsid w:val="00F802AD"/>
    <w:rsid w:val="00F842E0"/>
    <w:rsid w:val="00F8480F"/>
    <w:rsid w:val="00F85D98"/>
    <w:rsid w:val="00FB0C76"/>
    <w:rsid w:val="00FB41FD"/>
    <w:rsid w:val="00FD513F"/>
    <w:rsid w:val="00FE2BEE"/>
    <w:rsid w:val="00FE5F7C"/>
    <w:rsid w:val="00FF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AFE5"/>
  <w15:chartTrackingRefBased/>
  <w15:docId w15:val="{6C1248AE-ECA2-45DB-B39F-05A59F29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D6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0A2"/>
    <w:pPr>
      <w:spacing w:after="0" w:line="240" w:lineRule="auto"/>
    </w:pPr>
  </w:style>
  <w:style w:type="table" w:styleId="TableGrid">
    <w:name w:val="Table Grid"/>
    <w:basedOn w:val="TableNormal"/>
    <w:uiPriority w:val="39"/>
    <w:rsid w:val="00FE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32D9"/>
    <w:rPr>
      <w:color w:val="0563C1" w:themeColor="hyperlink"/>
      <w:u w:val="single"/>
    </w:rPr>
  </w:style>
  <w:style w:type="paragraph" w:styleId="BalloonText">
    <w:name w:val="Balloon Text"/>
    <w:basedOn w:val="Normal"/>
    <w:link w:val="BalloonTextChar"/>
    <w:uiPriority w:val="99"/>
    <w:semiHidden/>
    <w:unhideWhenUsed/>
    <w:rsid w:val="00312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C97"/>
    <w:rPr>
      <w:rFonts w:ascii="Segoe UI" w:hAnsi="Segoe UI" w:cs="Segoe UI"/>
      <w:sz w:val="18"/>
      <w:szCs w:val="18"/>
    </w:rPr>
  </w:style>
  <w:style w:type="paragraph" w:styleId="ListParagraph">
    <w:name w:val="List Paragraph"/>
    <w:basedOn w:val="Normal"/>
    <w:uiPriority w:val="34"/>
    <w:qFormat/>
    <w:rsid w:val="00633F31"/>
    <w:pPr>
      <w:ind w:left="720"/>
      <w:contextualSpacing/>
    </w:pPr>
  </w:style>
  <w:style w:type="paragraph" w:customStyle="1" w:styleId="Default">
    <w:name w:val="Default"/>
    <w:rsid w:val="00B722B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07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E00"/>
    <w:rPr>
      <w:rFonts w:eastAsiaTheme="minorEastAsia"/>
    </w:rPr>
  </w:style>
  <w:style w:type="paragraph" w:styleId="Footer">
    <w:name w:val="footer"/>
    <w:basedOn w:val="Normal"/>
    <w:link w:val="FooterChar"/>
    <w:uiPriority w:val="99"/>
    <w:unhideWhenUsed/>
    <w:rsid w:val="00407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E0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176e034-99a2-4673-8ee9-378b563003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3CF89DA3570419D26247634557E82" ma:contentTypeVersion="15" ma:contentTypeDescription="Create a new document." ma:contentTypeScope="" ma:versionID="29f0ffeecc10d4eeda4b3f2bf7e4e7c1">
  <xsd:schema xmlns:xsd="http://www.w3.org/2001/XMLSchema" xmlns:xs="http://www.w3.org/2001/XMLSchema" xmlns:p="http://schemas.microsoft.com/office/2006/metadata/properties" xmlns:ns3="e3887377-2e07-408a-a93d-26a6de003c46" xmlns:ns4="e176e034-99a2-4673-8ee9-378b563003fd" targetNamespace="http://schemas.microsoft.com/office/2006/metadata/properties" ma:root="true" ma:fieldsID="b69e393c725ef59b924c4f9da9ff8eb6" ns3:_="" ns4:_="">
    <xsd:import namespace="e3887377-2e07-408a-a93d-26a6de003c46"/>
    <xsd:import namespace="e176e034-99a2-4673-8ee9-378b563003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Location"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87377-2e07-408a-a93d-26a6de003c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6e034-99a2-4673-8ee9-378b563003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5966D-6769-4AC8-9599-2CE7DD0F4D61}">
  <ds:schemaRefs>
    <ds:schemaRef ds:uri="http://schemas.microsoft.com/sharepoint/v3/contenttype/forms"/>
  </ds:schemaRefs>
</ds:datastoreItem>
</file>

<file path=customXml/itemProps2.xml><?xml version="1.0" encoding="utf-8"?>
<ds:datastoreItem xmlns:ds="http://schemas.openxmlformats.org/officeDocument/2006/customXml" ds:itemID="{1855A9A8-BB01-4532-A8EB-AF736BA97CF1}">
  <ds:schemaRefs>
    <ds:schemaRef ds:uri="http://schemas.microsoft.com/office/2006/metadata/properties"/>
    <ds:schemaRef ds:uri="http://schemas.microsoft.com/office/infopath/2007/PartnerControls"/>
    <ds:schemaRef ds:uri="e176e034-99a2-4673-8ee9-378b563003fd"/>
  </ds:schemaRefs>
</ds:datastoreItem>
</file>

<file path=customXml/itemProps3.xml><?xml version="1.0" encoding="utf-8"?>
<ds:datastoreItem xmlns:ds="http://schemas.openxmlformats.org/officeDocument/2006/customXml" ds:itemID="{775692D0-01E6-4AD9-9404-6D8D5D0A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87377-2e07-408a-a93d-26a6de003c46"/>
    <ds:schemaRef ds:uri="e176e034-99a2-4673-8ee9-378b56300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Karl L</dc:creator>
  <cp:keywords/>
  <dc:description/>
  <cp:lastModifiedBy>Bennett, Misty Marie</cp:lastModifiedBy>
  <cp:revision>2</cp:revision>
  <cp:lastPrinted>2021-12-13T17:53:00Z</cp:lastPrinted>
  <dcterms:created xsi:type="dcterms:W3CDTF">2024-01-22T19:00:00Z</dcterms:created>
  <dcterms:modified xsi:type="dcterms:W3CDTF">2024-01-22T19:00:00Z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0x010100E453CF89DA3570419D26247634557E82</vt:lpwstr>
  </property>
</Properties>
</file>